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86" w:rsidRPr="00602F53" w:rsidRDefault="00602F53" w:rsidP="00602F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F53">
        <w:rPr>
          <w:rFonts w:ascii="Times New Roman" w:hAnsi="Times New Roman" w:cs="Times New Roman"/>
          <w:b/>
          <w:sz w:val="24"/>
          <w:szCs w:val="24"/>
        </w:rPr>
        <w:t>Ing. Jan Zeman, CSc., Praha</w:t>
      </w:r>
      <w:r w:rsidRPr="00602F53">
        <w:rPr>
          <w:rFonts w:ascii="Times New Roman" w:hAnsi="Times New Roman" w:cs="Times New Roman"/>
          <w:b/>
          <w:sz w:val="24"/>
          <w:szCs w:val="24"/>
        </w:rPr>
        <w:tab/>
      </w:r>
      <w:r w:rsidRPr="00602F53">
        <w:rPr>
          <w:rFonts w:ascii="Times New Roman" w:hAnsi="Times New Roman" w:cs="Times New Roman"/>
          <w:b/>
          <w:sz w:val="24"/>
          <w:szCs w:val="24"/>
        </w:rPr>
        <w:tab/>
      </w:r>
      <w:r w:rsidRPr="00602F53">
        <w:rPr>
          <w:rFonts w:ascii="Times New Roman" w:hAnsi="Times New Roman" w:cs="Times New Roman"/>
          <w:b/>
          <w:sz w:val="24"/>
          <w:szCs w:val="24"/>
        </w:rPr>
        <w:tab/>
      </w:r>
      <w:r w:rsidRPr="00602F53">
        <w:rPr>
          <w:rFonts w:ascii="Times New Roman" w:hAnsi="Times New Roman" w:cs="Times New Roman"/>
          <w:b/>
          <w:sz w:val="24"/>
          <w:szCs w:val="24"/>
        </w:rPr>
        <w:tab/>
      </w:r>
      <w:r w:rsidRPr="00602F53">
        <w:rPr>
          <w:rFonts w:ascii="Times New Roman" w:hAnsi="Times New Roman" w:cs="Times New Roman"/>
          <w:b/>
          <w:sz w:val="24"/>
          <w:szCs w:val="24"/>
        </w:rPr>
        <w:tab/>
      </w:r>
      <w:r w:rsidRPr="00602F53">
        <w:rPr>
          <w:rFonts w:ascii="Times New Roman" w:hAnsi="Times New Roman" w:cs="Times New Roman"/>
          <w:b/>
          <w:sz w:val="24"/>
          <w:szCs w:val="24"/>
        </w:rPr>
        <w:tab/>
      </w:r>
      <w:r w:rsidRPr="00602F53">
        <w:rPr>
          <w:rFonts w:ascii="Times New Roman" w:hAnsi="Times New Roman" w:cs="Times New Roman"/>
          <w:b/>
          <w:sz w:val="24"/>
          <w:szCs w:val="24"/>
        </w:rPr>
        <w:tab/>
      </w:r>
      <w:r w:rsidR="00F25E1B">
        <w:rPr>
          <w:rFonts w:ascii="Times New Roman" w:hAnsi="Times New Roman" w:cs="Times New Roman"/>
          <w:b/>
          <w:sz w:val="24"/>
          <w:szCs w:val="24"/>
        </w:rPr>
        <w:t>7</w:t>
      </w:r>
      <w:r w:rsidRPr="00602F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E1B">
        <w:rPr>
          <w:rFonts w:ascii="Times New Roman" w:hAnsi="Times New Roman" w:cs="Times New Roman"/>
          <w:b/>
          <w:sz w:val="24"/>
          <w:szCs w:val="24"/>
        </w:rPr>
        <w:t>6</w:t>
      </w:r>
      <w:r w:rsidRPr="00602F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53">
        <w:rPr>
          <w:rFonts w:ascii="Times New Roman" w:hAnsi="Times New Roman" w:cs="Times New Roman"/>
          <w:b/>
          <w:sz w:val="24"/>
          <w:szCs w:val="24"/>
        </w:rPr>
        <w:t>2018</w:t>
      </w:r>
    </w:p>
    <w:p w:rsidR="00602F53" w:rsidRPr="008A13D2" w:rsidRDefault="00270286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13D2">
        <w:rPr>
          <w:rFonts w:ascii="Times New Roman" w:hAnsi="Times New Roman" w:cs="Times New Roman"/>
          <w:b/>
          <w:sz w:val="28"/>
          <w:szCs w:val="28"/>
        </w:rPr>
        <w:t xml:space="preserve">Politika obnovitelných zdrojů energie v ČR </w:t>
      </w:r>
      <w:r w:rsidR="008A13D2" w:rsidRPr="008A13D2">
        <w:rPr>
          <w:rFonts w:ascii="Times New Roman" w:hAnsi="Times New Roman" w:cs="Times New Roman"/>
          <w:b/>
          <w:sz w:val="28"/>
          <w:szCs w:val="28"/>
        </w:rPr>
        <w:t xml:space="preserve">je </w:t>
      </w:r>
      <w:r w:rsidRPr="008A13D2">
        <w:rPr>
          <w:rFonts w:ascii="Times New Roman" w:hAnsi="Times New Roman" w:cs="Times New Roman"/>
          <w:b/>
          <w:sz w:val="28"/>
          <w:szCs w:val="28"/>
        </w:rPr>
        <w:t>v</w:t>
      </w:r>
      <w:r w:rsidR="008A13D2" w:rsidRPr="008A13D2">
        <w:rPr>
          <w:rFonts w:ascii="Times New Roman" w:hAnsi="Times New Roman" w:cs="Times New Roman"/>
          <w:b/>
          <w:sz w:val="28"/>
          <w:szCs w:val="28"/>
        </w:rPr>
        <w:t> </w:t>
      </w:r>
      <w:r w:rsidRPr="008A13D2">
        <w:rPr>
          <w:rFonts w:ascii="Times New Roman" w:hAnsi="Times New Roman" w:cs="Times New Roman"/>
          <w:b/>
          <w:sz w:val="28"/>
          <w:szCs w:val="28"/>
        </w:rPr>
        <w:t>krizi</w:t>
      </w:r>
      <w:r w:rsidR="008A13D2" w:rsidRPr="008A13D2">
        <w:rPr>
          <w:rFonts w:ascii="Times New Roman" w:hAnsi="Times New Roman" w:cs="Times New Roman"/>
          <w:sz w:val="24"/>
          <w:szCs w:val="24"/>
        </w:rPr>
        <w:t>, Halo n. 15. 6. 2018</w:t>
      </w:r>
    </w:p>
    <w:p w:rsidR="00270286" w:rsidRDefault="00270286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0286">
        <w:rPr>
          <w:rFonts w:ascii="Times New Roman" w:hAnsi="Times New Roman" w:cs="Times New Roman"/>
          <w:sz w:val="24"/>
          <w:szCs w:val="24"/>
        </w:rPr>
        <w:t>V posledních týdnech jsem absol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70286">
        <w:rPr>
          <w:rFonts w:ascii="Times New Roman" w:hAnsi="Times New Roman" w:cs="Times New Roman"/>
          <w:sz w:val="24"/>
          <w:szCs w:val="24"/>
        </w:rPr>
        <w:t>oval několik seminářů k</w:t>
      </w:r>
      <w:r>
        <w:rPr>
          <w:rFonts w:ascii="Times New Roman" w:hAnsi="Times New Roman" w:cs="Times New Roman"/>
          <w:sz w:val="24"/>
          <w:szCs w:val="24"/>
        </w:rPr>
        <w:t xml:space="preserve"> využívání obnovitelných zdrojů </w:t>
      </w:r>
      <w:r w:rsidRPr="00270286"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702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(OZE) v ČR. Spíše </w:t>
      </w:r>
      <w:r w:rsidR="00D653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průmyslov</w:t>
      </w:r>
      <w:r w:rsidR="00D65348">
        <w:rPr>
          <w:rFonts w:ascii="Times New Roman" w:hAnsi="Times New Roman" w:cs="Times New Roman"/>
          <w:sz w:val="24"/>
          <w:szCs w:val="24"/>
        </w:rPr>
        <w:t>ému</w:t>
      </w:r>
      <w:r w:rsidR="00D063DE">
        <w:rPr>
          <w:rFonts w:ascii="Times New Roman" w:hAnsi="Times New Roman" w:cs="Times New Roman"/>
          <w:sz w:val="24"/>
          <w:szCs w:val="24"/>
        </w:rPr>
        <w:t xml:space="preserve"> využívání OZE</w:t>
      </w:r>
      <w:r>
        <w:rPr>
          <w:rFonts w:ascii="Times New Roman" w:hAnsi="Times New Roman" w:cs="Times New Roman"/>
          <w:sz w:val="24"/>
          <w:szCs w:val="24"/>
        </w:rPr>
        <w:t xml:space="preserve"> zaměřený seminář exministra průmyslu Jana Mládka</w:t>
      </w:r>
      <w:r w:rsidR="00766D12">
        <w:rPr>
          <w:rFonts w:ascii="Times New Roman" w:hAnsi="Times New Roman" w:cs="Times New Roman"/>
          <w:sz w:val="24"/>
          <w:szCs w:val="24"/>
        </w:rPr>
        <w:t xml:space="preserve"> (ČSSD)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766D12">
        <w:rPr>
          <w:rFonts w:ascii="Times New Roman" w:hAnsi="Times New Roman" w:cs="Times New Roman"/>
          <w:sz w:val="24"/>
          <w:szCs w:val="24"/>
        </w:rPr>
        <w:t>výrobu elektřiny ze sluneční energie (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fotovoltaiku</w:t>
      </w:r>
      <w:proofErr w:type="spellEnd"/>
      <w:r w:rsidR="00766D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zaměřený seminář Alternativy zdola (byl jsem tam v panelu s nadšencem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evropské úrovně Milanem Smržem) a seminář Společnosti pro udržitelný život, zaměřený na inteligentní distribuční elektrorozvodné sítě, tzv. </w:t>
      </w:r>
      <w:r w:rsidR="00937F8A">
        <w:rPr>
          <w:rFonts w:ascii="Times New Roman" w:hAnsi="Times New Roman" w:cs="Times New Roman"/>
          <w:sz w:val="24"/>
          <w:szCs w:val="24"/>
        </w:rPr>
        <w:t>chytré sítě</w:t>
      </w:r>
      <w:r>
        <w:rPr>
          <w:rFonts w:ascii="Times New Roman" w:hAnsi="Times New Roman" w:cs="Times New Roman"/>
          <w:sz w:val="24"/>
          <w:szCs w:val="24"/>
        </w:rPr>
        <w:t xml:space="preserve">. Výsledek </w:t>
      </w:r>
      <w:r w:rsidR="00D653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značně rozpačitý. </w:t>
      </w:r>
    </w:p>
    <w:p w:rsidR="00766D12" w:rsidRDefault="00270286" w:rsidP="005B0D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Jana Mládka sice shledal možnost významně rozvíjet v ČR zejména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menším i další </w:t>
      </w:r>
      <w:r w:rsidR="00DB4AA3">
        <w:rPr>
          <w:rFonts w:ascii="Times New Roman" w:hAnsi="Times New Roman" w:cs="Times New Roman"/>
          <w:sz w:val="24"/>
          <w:szCs w:val="24"/>
        </w:rPr>
        <w:t>OZE</w:t>
      </w:r>
      <w:r>
        <w:rPr>
          <w:rFonts w:ascii="Times New Roman" w:hAnsi="Times New Roman" w:cs="Times New Roman"/>
          <w:sz w:val="24"/>
          <w:szCs w:val="24"/>
        </w:rPr>
        <w:t xml:space="preserve">, ale současně konstatoval, že se bez klasických velkých zdrojů energie ještě dlouho neobejdeme a že alternativou jaderné energie je ještě problematičtější zemní plyn. </w:t>
      </w:r>
      <w:r w:rsidR="00D063DE">
        <w:rPr>
          <w:rFonts w:ascii="Times New Roman" w:hAnsi="Times New Roman" w:cs="Times New Roman"/>
          <w:sz w:val="24"/>
          <w:szCs w:val="24"/>
        </w:rPr>
        <w:t xml:space="preserve">Navíc rozvoj </w:t>
      </w:r>
      <w:proofErr w:type="spellStart"/>
      <w:r w:rsidR="00D063DE">
        <w:rPr>
          <w:rFonts w:ascii="Times New Roman" w:hAnsi="Times New Roman" w:cs="Times New Roman"/>
          <w:sz w:val="24"/>
          <w:szCs w:val="24"/>
        </w:rPr>
        <w:t>fotovoltaiky</w:t>
      </w:r>
      <w:proofErr w:type="spellEnd"/>
      <w:r w:rsidR="00D063DE">
        <w:rPr>
          <w:rFonts w:ascii="Times New Roman" w:hAnsi="Times New Roman" w:cs="Times New Roman"/>
          <w:sz w:val="24"/>
          <w:szCs w:val="24"/>
        </w:rPr>
        <w:t xml:space="preserve"> a zejména větrné energetiky zásadně podvazují nedostatečné elektrorozvodné sítě </w:t>
      </w:r>
      <w:r w:rsidR="00437D43">
        <w:rPr>
          <w:rFonts w:ascii="Times New Roman" w:hAnsi="Times New Roman" w:cs="Times New Roman"/>
          <w:sz w:val="24"/>
          <w:szCs w:val="24"/>
        </w:rPr>
        <w:t>a</w:t>
      </w:r>
      <w:r w:rsidR="00D063DE">
        <w:rPr>
          <w:rFonts w:ascii="Times New Roman" w:hAnsi="Times New Roman" w:cs="Times New Roman"/>
          <w:sz w:val="24"/>
          <w:szCs w:val="24"/>
        </w:rPr>
        <w:t xml:space="preserve"> neskladovatelnost elektřiny. </w:t>
      </w:r>
      <w:r w:rsidR="00437D43">
        <w:rPr>
          <w:rFonts w:ascii="Times New Roman" w:hAnsi="Times New Roman" w:cs="Times New Roman"/>
          <w:sz w:val="24"/>
          <w:szCs w:val="24"/>
        </w:rPr>
        <w:t>S</w:t>
      </w:r>
      <w:r w:rsidR="00D65348">
        <w:rPr>
          <w:rFonts w:ascii="Times New Roman" w:hAnsi="Times New Roman" w:cs="Times New Roman"/>
          <w:sz w:val="24"/>
          <w:szCs w:val="24"/>
        </w:rPr>
        <w:t> dožíváním klasických velkých, stabilně pracujících elektráren na fosilní a jaderná paliva narůstá riziko kolapsu elektrorozvodné sítě, obávaného „</w:t>
      </w:r>
      <w:proofErr w:type="spellStart"/>
      <w:r w:rsidR="00D65348">
        <w:rPr>
          <w:rFonts w:ascii="Times New Roman" w:hAnsi="Times New Roman" w:cs="Times New Roman"/>
          <w:sz w:val="24"/>
          <w:szCs w:val="24"/>
        </w:rPr>
        <w:t>blackoutu</w:t>
      </w:r>
      <w:proofErr w:type="spellEnd"/>
      <w:r w:rsidR="00D65348">
        <w:rPr>
          <w:rFonts w:ascii="Times New Roman" w:hAnsi="Times New Roman" w:cs="Times New Roman"/>
          <w:sz w:val="24"/>
          <w:szCs w:val="24"/>
        </w:rPr>
        <w:t xml:space="preserve">“. </w:t>
      </w:r>
      <w:r w:rsidR="00F25E1B">
        <w:rPr>
          <w:rFonts w:ascii="Times New Roman" w:hAnsi="Times New Roman" w:cs="Times New Roman"/>
          <w:sz w:val="24"/>
          <w:szCs w:val="24"/>
        </w:rPr>
        <w:t xml:space="preserve">Dodávám, že při evropském trhu s elektřinou nám </w:t>
      </w:r>
      <w:proofErr w:type="spellStart"/>
      <w:r w:rsidR="00F25E1B">
        <w:rPr>
          <w:rFonts w:ascii="Times New Roman" w:hAnsi="Times New Roman" w:cs="Times New Roman"/>
          <w:sz w:val="24"/>
          <w:szCs w:val="24"/>
        </w:rPr>
        <w:t>blackout</w:t>
      </w:r>
      <w:proofErr w:type="spellEnd"/>
      <w:r w:rsidR="00F25E1B">
        <w:rPr>
          <w:rFonts w:ascii="Times New Roman" w:hAnsi="Times New Roman" w:cs="Times New Roman"/>
          <w:sz w:val="24"/>
          <w:szCs w:val="24"/>
        </w:rPr>
        <w:t xml:space="preserve"> mohou zajistit i sousedé, když v případě svého deficitu přeplatí naši elektřinu. </w:t>
      </w:r>
      <w:r w:rsidR="00A865C8">
        <w:rPr>
          <w:rFonts w:ascii="Times New Roman" w:hAnsi="Times New Roman" w:cs="Times New Roman"/>
          <w:sz w:val="24"/>
          <w:szCs w:val="24"/>
        </w:rPr>
        <w:t>D</w:t>
      </w:r>
      <w:r w:rsidR="00766D12">
        <w:rPr>
          <w:rFonts w:ascii="Times New Roman" w:hAnsi="Times New Roman" w:cs="Times New Roman"/>
          <w:sz w:val="24"/>
          <w:szCs w:val="24"/>
        </w:rPr>
        <w:t>ávat nám za vzor země s ohromným hydrologickým potenciálem (Norsko, Švédsko, Rakousko, Švýcarsko ad.), s ohromným větrným potenciálem (Německo, Velká Británie ad.) jsou hraběcí rady</w:t>
      </w:r>
      <w:r w:rsidR="005B0D79">
        <w:rPr>
          <w:rFonts w:ascii="Times New Roman" w:hAnsi="Times New Roman" w:cs="Times New Roman"/>
          <w:sz w:val="24"/>
          <w:szCs w:val="24"/>
        </w:rPr>
        <w:t>. D</w:t>
      </w:r>
      <w:r w:rsidR="00766D12">
        <w:rPr>
          <w:rFonts w:ascii="Times New Roman" w:hAnsi="Times New Roman" w:cs="Times New Roman"/>
          <w:sz w:val="24"/>
          <w:szCs w:val="24"/>
        </w:rPr>
        <w:t xml:space="preserve">oporučovat </w:t>
      </w:r>
      <w:r w:rsidR="005B0D79">
        <w:rPr>
          <w:rFonts w:ascii="Times New Roman" w:hAnsi="Times New Roman" w:cs="Times New Roman"/>
          <w:sz w:val="24"/>
          <w:szCs w:val="24"/>
        </w:rPr>
        <w:t xml:space="preserve">rozsáhlý </w:t>
      </w:r>
      <w:r w:rsidR="00766D12">
        <w:rPr>
          <w:rFonts w:ascii="Times New Roman" w:hAnsi="Times New Roman" w:cs="Times New Roman"/>
          <w:sz w:val="24"/>
          <w:szCs w:val="24"/>
        </w:rPr>
        <w:t xml:space="preserve">dovoz fosilních paliv či biopaliv jen problémy přesouvá v prostoru. </w:t>
      </w:r>
    </w:p>
    <w:p w:rsidR="00270286" w:rsidRDefault="00D063DE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Smrž opět připomněl mohutný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světě, leč v ČR se jí nedaří. </w:t>
      </w:r>
      <w:r w:rsidR="00C33985">
        <w:rPr>
          <w:rFonts w:ascii="Times New Roman" w:hAnsi="Times New Roman" w:cs="Times New Roman"/>
          <w:sz w:val="24"/>
          <w:szCs w:val="24"/>
        </w:rPr>
        <w:t xml:space="preserve">Prý se blíží ekonomické zralosti </w:t>
      </w:r>
      <w:r w:rsidR="00A865C8">
        <w:rPr>
          <w:rFonts w:ascii="Times New Roman" w:hAnsi="Times New Roman" w:cs="Times New Roman"/>
          <w:sz w:val="24"/>
          <w:szCs w:val="24"/>
        </w:rPr>
        <w:t xml:space="preserve">i </w:t>
      </w:r>
      <w:r w:rsidR="00C33985">
        <w:rPr>
          <w:rFonts w:ascii="Times New Roman" w:hAnsi="Times New Roman" w:cs="Times New Roman"/>
          <w:sz w:val="24"/>
          <w:szCs w:val="24"/>
        </w:rPr>
        <w:t>v podmínkách ČR. J</w:t>
      </w:r>
      <w:r>
        <w:rPr>
          <w:rFonts w:ascii="Times New Roman" w:hAnsi="Times New Roman" w:cs="Times New Roman"/>
          <w:sz w:val="24"/>
          <w:szCs w:val="24"/>
        </w:rPr>
        <w:t>isté škody způsob</w:t>
      </w:r>
      <w:r w:rsidR="00C33985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 xml:space="preserve"> nezvládnutí </w:t>
      </w:r>
      <w:r w:rsidR="00C33985">
        <w:rPr>
          <w:rFonts w:ascii="Times New Roman" w:hAnsi="Times New Roman" w:cs="Times New Roman"/>
          <w:sz w:val="24"/>
          <w:szCs w:val="24"/>
        </w:rPr>
        <w:t>jejího</w:t>
      </w:r>
      <w:r w:rsidR="00D65348">
        <w:rPr>
          <w:rFonts w:ascii="Times New Roman" w:hAnsi="Times New Roman" w:cs="Times New Roman"/>
          <w:sz w:val="24"/>
          <w:szCs w:val="24"/>
        </w:rPr>
        <w:t xml:space="preserve"> rozvoje </w:t>
      </w:r>
      <w:r>
        <w:rPr>
          <w:rFonts w:ascii="Times New Roman" w:hAnsi="Times New Roman" w:cs="Times New Roman"/>
          <w:sz w:val="24"/>
          <w:szCs w:val="24"/>
        </w:rPr>
        <w:t xml:space="preserve">v letech 2008-10. </w:t>
      </w:r>
      <w:r w:rsidR="00CB3FEB">
        <w:rPr>
          <w:rFonts w:ascii="Times New Roman" w:hAnsi="Times New Roman" w:cs="Times New Roman"/>
          <w:sz w:val="24"/>
          <w:szCs w:val="24"/>
        </w:rPr>
        <w:t xml:space="preserve">Neřekl už, že prudký rozvoj OZE těžko překvapí v situaci, kdy zákony prakticky zakázaly rozvoj fosilní a jaderné energetiky, např. v Evropské unii. </w:t>
      </w:r>
      <w:r w:rsidR="00766D12">
        <w:rPr>
          <w:rFonts w:ascii="Times New Roman" w:hAnsi="Times New Roman" w:cs="Times New Roman"/>
          <w:sz w:val="24"/>
          <w:szCs w:val="24"/>
        </w:rPr>
        <w:t xml:space="preserve">Ostře se vyslovil proti zemnímu plynu jako cestě k řešení </w:t>
      </w:r>
      <w:r w:rsidR="00F25E1B">
        <w:rPr>
          <w:rFonts w:ascii="Times New Roman" w:hAnsi="Times New Roman" w:cs="Times New Roman"/>
          <w:sz w:val="24"/>
          <w:szCs w:val="24"/>
        </w:rPr>
        <w:t>rostoucích</w:t>
      </w:r>
      <w:r w:rsidR="00766D12">
        <w:rPr>
          <w:rFonts w:ascii="Times New Roman" w:hAnsi="Times New Roman" w:cs="Times New Roman"/>
          <w:sz w:val="24"/>
          <w:szCs w:val="24"/>
        </w:rPr>
        <w:t xml:space="preserve"> problémů </w:t>
      </w:r>
      <w:r w:rsidR="00F25E1B">
        <w:rPr>
          <w:rFonts w:ascii="Times New Roman" w:hAnsi="Times New Roman" w:cs="Times New Roman"/>
          <w:sz w:val="24"/>
          <w:szCs w:val="24"/>
        </w:rPr>
        <w:t xml:space="preserve">změny </w:t>
      </w:r>
      <w:r w:rsidR="00766D12">
        <w:rPr>
          <w:rFonts w:ascii="Times New Roman" w:hAnsi="Times New Roman" w:cs="Times New Roman"/>
          <w:sz w:val="24"/>
          <w:szCs w:val="24"/>
        </w:rPr>
        <w:t xml:space="preserve">klimatu – oteplování. </w:t>
      </w:r>
    </w:p>
    <w:p w:rsidR="00D063DE" w:rsidRDefault="00D063DE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semináři STUŽ se </w:t>
      </w:r>
      <w:r w:rsidR="00F25E1B">
        <w:rPr>
          <w:rFonts w:ascii="Times New Roman" w:hAnsi="Times New Roman" w:cs="Times New Roman"/>
          <w:sz w:val="24"/>
          <w:szCs w:val="24"/>
        </w:rPr>
        <w:t>připomněl 8</w:t>
      </w:r>
      <w:r>
        <w:rPr>
          <w:rFonts w:ascii="Times New Roman" w:hAnsi="Times New Roman" w:cs="Times New Roman"/>
          <w:sz w:val="24"/>
          <w:szCs w:val="24"/>
        </w:rPr>
        <w:t xml:space="preserve"> let starý záměr postavit obří sluneční elektrárny na Sahaře s tím, že by zajišťovaly asi 20 % spotřeby elektřiny v</w:t>
      </w:r>
      <w:r w:rsidR="00F25E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Evropě, ale že takový záměr smrdí neokolonialismem. </w:t>
      </w:r>
      <w:r w:rsidR="00C33985">
        <w:rPr>
          <w:rFonts w:ascii="Times New Roman" w:hAnsi="Times New Roman" w:cs="Times New Roman"/>
          <w:sz w:val="24"/>
          <w:szCs w:val="24"/>
        </w:rPr>
        <w:t>Pak ale přišlo arabské jaro (a svévolné zničení Libye západními mocnostmi</w:t>
      </w:r>
      <w:r w:rsidR="00A865C8">
        <w:rPr>
          <w:rFonts w:ascii="Times New Roman" w:hAnsi="Times New Roman" w:cs="Times New Roman"/>
          <w:sz w:val="24"/>
          <w:szCs w:val="24"/>
        </w:rPr>
        <w:t xml:space="preserve"> - JZ</w:t>
      </w:r>
      <w:r w:rsidR="00C3398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Možnosti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elektráren klesají v Evropě směrem na sever. Je</w:t>
      </w:r>
      <w:r w:rsidR="00437D43">
        <w:rPr>
          <w:rFonts w:ascii="Times New Roman" w:hAnsi="Times New Roman" w:cs="Times New Roman"/>
          <w:sz w:val="24"/>
          <w:szCs w:val="24"/>
        </w:rPr>
        <w:t xml:space="preserve">dničkou v OZE včetně </w:t>
      </w:r>
      <w:proofErr w:type="spellStart"/>
      <w:r w:rsidR="00437D43">
        <w:rPr>
          <w:rFonts w:ascii="Times New Roman" w:hAnsi="Times New Roman" w:cs="Times New Roman"/>
          <w:sz w:val="24"/>
          <w:szCs w:val="24"/>
        </w:rPr>
        <w:t>fotovoltaiky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zůstává Čína. </w:t>
      </w:r>
      <w:r w:rsidR="00D65348">
        <w:rPr>
          <w:rFonts w:ascii="Times New Roman" w:hAnsi="Times New Roman" w:cs="Times New Roman"/>
          <w:sz w:val="24"/>
          <w:szCs w:val="24"/>
        </w:rPr>
        <w:t xml:space="preserve">Za ní jsou Spojené státy a řada dalších neevropských států. V rámci EU patří ČR k těm horším, ale ne k nejhorším. </w:t>
      </w:r>
      <w:r>
        <w:rPr>
          <w:rFonts w:ascii="Times New Roman" w:hAnsi="Times New Roman" w:cs="Times New Roman"/>
          <w:sz w:val="24"/>
          <w:szCs w:val="24"/>
        </w:rPr>
        <w:t>Bludný kruh? Toť otázka.</w:t>
      </w:r>
      <w:r w:rsidR="00766D12">
        <w:rPr>
          <w:rFonts w:ascii="Times New Roman" w:hAnsi="Times New Roman" w:cs="Times New Roman"/>
          <w:sz w:val="24"/>
          <w:szCs w:val="24"/>
        </w:rPr>
        <w:t xml:space="preserve"> Tzv. chytré sítě se rozvíjí s velkými problémy, klasicky v Německu. </w:t>
      </w:r>
    </w:p>
    <w:p w:rsidR="00D063DE" w:rsidRPr="007E7922" w:rsidRDefault="00D063DE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922">
        <w:rPr>
          <w:rFonts w:ascii="Times New Roman" w:hAnsi="Times New Roman" w:cs="Times New Roman"/>
          <w:sz w:val="24"/>
          <w:szCs w:val="24"/>
        </w:rPr>
        <w:t xml:space="preserve">Obří </w:t>
      </w:r>
      <w:proofErr w:type="spellStart"/>
      <w:r w:rsidRPr="007E7922">
        <w:rPr>
          <w:rFonts w:ascii="Times New Roman" w:hAnsi="Times New Roman" w:cs="Times New Roman"/>
          <w:sz w:val="24"/>
          <w:szCs w:val="24"/>
        </w:rPr>
        <w:t>fotovoltaický</w:t>
      </w:r>
      <w:proofErr w:type="spellEnd"/>
      <w:r w:rsidRPr="007E7922">
        <w:rPr>
          <w:rFonts w:ascii="Times New Roman" w:hAnsi="Times New Roman" w:cs="Times New Roman"/>
          <w:sz w:val="24"/>
          <w:szCs w:val="24"/>
        </w:rPr>
        <w:t xml:space="preserve"> tunel paralyzuje rozvoj OZE </w:t>
      </w:r>
      <w:r w:rsidR="007E7922" w:rsidRPr="007E7922">
        <w:rPr>
          <w:rFonts w:ascii="Times New Roman" w:hAnsi="Times New Roman" w:cs="Times New Roman"/>
          <w:sz w:val="24"/>
          <w:szCs w:val="24"/>
        </w:rPr>
        <w:t>u nás</w:t>
      </w:r>
      <w:r w:rsidRPr="007E7922">
        <w:rPr>
          <w:rFonts w:ascii="Times New Roman" w:hAnsi="Times New Roman" w:cs="Times New Roman"/>
          <w:sz w:val="24"/>
          <w:szCs w:val="24"/>
        </w:rPr>
        <w:t xml:space="preserve"> i dnes</w:t>
      </w:r>
    </w:p>
    <w:p w:rsidR="00D063DE" w:rsidRDefault="00D063DE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Chceme-li pochopit současnou neutěšenou situaci </w:t>
      </w:r>
      <w:r w:rsidR="00715088">
        <w:rPr>
          <w:rFonts w:ascii="Times New Roman" w:hAnsi="Times New Roman" w:cs="Times New Roman"/>
          <w:sz w:val="24"/>
          <w:szCs w:val="24"/>
        </w:rPr>
        <w:t xml:space="preserve">ve využívání OZE </w:t>
      </w:r>
      <w:r>
        <w:rPr>
          <w:rFonts w:ascii="Times New Roman" w:hAnsi="Times New Roman" w:cs="Times New Roman"/>
          <w:sz w:val="24"/>
          <w:szCs w:val="24"/>
        </w:rPr>
        <w:t xml:space="preserve">v ČR, musíme se vrátit do let 2003-05, kdy Martin Bursík jako poradce pro energetiku </w:t>
      </w:r>
      <w:r w:rsidR="00715088">
        <w:rPr>
          <w:rFonts w:ascii="Times New Roman" w:hAnsi="Times New Roman" w:cs="Times New Roman"/>
          <w:sz w:val="24"/>
          <w:szCs w:val="24"/>
        </w:rPr>
        <w:t xml:space="preserve">ministra životního prostředí Libora </w:t>
      </w:r>
      <w:proofErr w:type="spellStart"/>
      <w:r w:rsidR="00715088">
        <w:rPr>
          <w:rFonts w:ascii="Times New Roman" w:hAnsi="Times New Roman" w:cs="Times New Roman"/>
          <w:sz w:val="24"/>
          <w:szCs w:val="24"/>
        </w:rPr>
        <w:t>Ambrozka</w:t>
      </w:r>
      <w:proofErr w:type="spellEnd"/>
      <w:r w:rsidR="00715088">
        <w:rPr>
          <w:rFonts w:ascii="Times New Roman" w:hAnsi="Times New Roman" w:cs="Times New Roman"/>
          <w:sz w:val="24"/>
          <w:szCs w:val="24"/>
        </w:rPr>
        <w:t xml:space="preserve"> z KDU-ČSL </w:t>
      </w:r>
      <w:r>
        <w:rPr>
          <w:rFonts w:ascii="Times New Roman" w:hAnsi="Times New Roman" w:cs="Times New Roman"/>
          <w:sz w:val="24"/>
          <w:szCs w:val="24"/>
        </w:rPr>
        <w:t xml:space="preserve">vypracovával strategii podpory OZE v ČR. </w:t>
      </w:r>
      <w:r w:rsidR="0071508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ozvoj OZE v ČR nevycházel. </w:t>
      </w:r>
      <w:r w:rsidR="00715088">
        <w:rPr>
          <w:rFonts w:ascii="Times New Roman" w:hAnsi="Times New Roman" w:cs="Times New Roman"/>
          <w:sz w:val="24"/>
          <w:szCs w:val="24"/>
        </w:rPr>
        <w:t xml:space="preserve">Měl z toho odvodit, že rozvoj </w:t>
      </w:r>
      <w:proofErr w:type="spellStart"/>
      <w:r w:rsidR="00715088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 w:rsidR="00715088">
        <w:rPr>
          <w:rFonts w:ascii="Times New Roman" w:hAnsi="Times New Roman" w:cs="Times New Roman"/>
          <w:sz w:val="24"/>
          <w:szCs w:val="24"/>
        </w:rPr>
        <w:t xml:space="preserve"> ekonomicky nezralých technologií OZE je až na výjimky v ČR absolutně neefektivní</w:t>
      </w:r>
      <w:r w:rsidR="00C33985">
        <w:rPr>
          <w:rFonts w:ascii="Times New Roman" w:hAnsi="Times New Roman" w:cs="Times New Roman"/>
          <w:sz w:val="24"/>
          <w:szCs w:val="24"/>
        </w:rPr>
        <w:t xml:space="preserve"> a podpořit vývoj efektivnější</w:t>
      </w:r>
      <w:r w:rsidR="00A865C8">
        <w:rPr>
          <w:rFonts w:ascii="Times New Roman" w:hAnsi="Times New Roman" w:cs="Times New Roman"/>
          <w:sz w:val="24"/>
          <w:szCs w:val="24"/>
        </w:rPr>
        <w:t>ch technologií</w:t>
      </w:r>
      <w:r w:rsidR="00C33985">
        <w:rPr>
          <w:rFonts w:ascii="Times New Roman" w:hAnsi="Times New Roman" w:cs="Times New Roman"/>
          <w:sz w:val="24"/>
          <w:szCs w:val="24"/>
        </w:rPr>
        <w:t xml:space="preserve">, nikoliv masovou instalaci </w:t>
      </w:r>
      <w:r w:rsidR="00A865C8">
        <w:rPr>
          <w:rFonts w:ascii="Times New Roman" w:hAnsi="Times New Roman" w:cs="Times New Roman"/>
          <w:sz w:val="24"/>
          <w:szCs w:val="24"/>
        </w:rPr>
        <w:t xml:space="preserve">technologií </w:t>
      </w:r>
      <w:r w:rsidR="00C33985">
        <w:rPr>
          <w:rFonts w:ascii="Times New Roman" w:hAnsi="Times New Roman" w:cs="Times New Roman"/>
          <w:sz w:val="24"/>
          <w:szCs w:val="24"/>
        </w:rPr>
        <w:t>zjevně neefektivních</w:t>
      </w:r>
      <w:r w:rsidR="007150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Povzbuzen scestnou směrnicí EU o podpoře výroby elektřiny z OZE </w:t>
      </w:r>
      <w:r w:rsidR="00715088">
        <w:rPr>
          <w:rFonts w:ascii="Times New Roman" w:hAnsi="Times New Roman" w:cs="Times New Roman"/>
          <w:sz w:val="24"/>
          <w:szCs w:val="24"/>
        </w:rPr>
        <w:t>a dobrodružnou p</w:t>
      </w:r>
      <w:r w:rsidR="00937F8A">
        <w:rPr>
          <w:rFonts w:ascii="Times New Roman" w:hAnsi="Times New Roman" w:cs="Times New Roman"/>
          <w:sz w:val="24"/>
          <w:szCs w:val="24"/>
        </w:rPr>
        <w:t xml:space="preserve">olitikou Německa (tzv. </w:t>
      </w:r>
      <w:proofErr w:type="spellStart"/>
      <w:r w:rsidR="00937F8A">
        <w:rPr>
          <w:rFonts w:ascii="Times New Roman" w:hAnsi="Times New Roman" w:cs="Times New Roman"/>
          <w:sz w:val="24"/>
          <w:szCs w:val="24"/>
        </w:rPr>
        <w:t>Energiew</w:t>
      </w:r>
      <w:r w:rsidR="00715088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="00715088">
        <w:rPr>
          <w:rFonts w:ascii="Times New Roman" w:hAnsi="Times New Roman" w:cs="Times New Roman"/>
          <w:sz w:val="24"/>
          <w:szCs w:val="24"/>
        </w:rPr>
        <w:t xml:space="preserve">) </w:t>
      </w:r>
      <w:r w:rsidR="00CB3FEB">
        <w:rPr>
          <w:rFonts w:ascii="Times New Roman" w:hAnsi="Times New Roman" w:cs="Times New Roman"/>
          <w:sz w:val="24"/>
          <w:szCs w:val="24"/>
        </w:rPr>
        <w:t xml:space="preserve">vymyslel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37D43">
        <w:rPr>
          <w:rFonts w:ascii="Times New Roman" w:hAnsi="Times New Roman" w:cs="Times New Roman"/>
          <w:sz w:val="24"/>
          <w:szCs w:val="24"/>
        </w:rPr>
        <w:t>ivný</w:t>
      </w:r>
      <w:r>
        <w:rPr>
          <w:rFonts w:ascii="Times New Roman" w:hAnsi="Times New Roman" w:cs="Times New Roman"/>
          <w:sz w:val="24"/>
          <w:szCs w:val="24"/>
        </w:rPr>
        <w:t xml:space="preserve"> plán jejich podpory:</w:t>
      </w:r>
    </w:p>
    <w:p w:rsidR="00D063DE" w:rsidRDefault="00D063DE" w:rsidP="00D063D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 se povinnost vykupovat všechnu elektřinu dodávanou novými OZE,</w:t>
      </w:r>
      <w:r w:rsidR="0071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DE" w:rsidRDefault="005B0D79" w:rsidP="00D063D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účet spotřebitelů elektřiny se zavedou </w:t>
      </w:r>
      <w:r w:rsidR="00D063DE">
        <w:rPr>
          <w:rFonts w:ascii="Times New Roman" w:hAnsi="Times New Roman" w:cs="Times New Roman"/>
          <w:sz w:val="24"/>
          <w:szCs w:val="24"/>
        </w:rPr>
        <w:t>ceny této elektřiny ve výši, že každý výrobce bude mít zajištěnou rentabilitu</w:t>
      </w:r>
      <w:r w:rsidR="00715088">
        <w:rPr>
          <w:rFonts w:ascii="Times New Roman" w:hAnsi="Times New Roman" w:cs="Times New Roman"/>
          <w:sz w:val="24"/>
          <w:szCs w:val="24"/>
        </w:rPr>
        <w:t xml:space="preserve"> po dobu 15-20 let</w:t>
      </w:r>
      <w:r w:rsidR="00D063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3DE" w:rsidRPr="00D063DE" w:rsidRDefault="00D063DE" w:rsidP="00D063D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Zásadně se omezí možnost snížit výkupní ceny elektřiny na cca 10 % za rok. </w:t>
      </w:r>
    </w:p>
    <w:p w:rsidR="00D063DE" w:rsidRDefault="00715088" w:rsidP="005B0D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První dva mechanismy zná příslušná směrnice EU. Všude nadělaly značné škody, ale jen v ČR vznikl obří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tunel. Počítal jsem možné ztráty ČR a dospěl jsem k</w:t>
      </w:r>
      <w:r w:rsidR="00CB3FEB">
        <w:rPr>
          <w:rFonts w:ascii="Times New Roman" w:hAnsi="Times New Roman" w:cs="Times New Roman"/>
          <w:sz w:val="24"/>
          <w:szCs w:val="24"/>
        </w:rPr>
        <w:t xml:space="preserve"> úhrnné </w:t>
      </w:r>
      <w:r>
        <w:rPr>
          <w:rFonts w:ascii="Times New Roman" w:hAnsi="Times New Roman" w:cs="Times New Roman"/>
          <w:sz w:val="24"/>
          <w:szCs w:val="24"/>
        </w:rPr>
        <w:t>částce asi 100 miliard korun</w:t>
      </w:r>
      <w:r w:rsidR="00CB3FEB">
        <w:rPr>
          <w:rFonts w:ascii="Times New Roman" w:hAnsi="Times New Roman" w:cs="Times New Roman"/>
          <w:sz w:val="24"/>
          <w:szCs w:val="24"/>
        </w:rPr>
        <w:t xml:space="preserve">, což jsem považoval za </w:t>
      </w:r>
      <w:r w:rsidR="00437D43">
        <w:rPr>
          <w:rFonts w:ascii="Times New Roman" w:hAnsi="Times New Roman" w:cs="Times New Roman"/>
          <w:sz w:val="24"/>
          <w:szCs w:val="24"/>
        </w:rPr>
        <w:t>nepřijatelné</w:t>
      </w:r>
      <w:r>
        <w:rPr>
          <w:rFonts w:ascii="Times New Roman" w:hAnsi="Times New Roman" w:cs="Times New Roman"/>
          <w:sz w:val="24"/>
          <w:szCs w:val="24"/>
        </w:rPr>
        <w:t xml:space="preserve">. V rámci značně omezených možností jsem varoval příslušné úředníky MŽP a některé politiky. Úředníci </w:t>
      </w:r>
      <w:r w:rsidR="00CB3FEB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plní úkoly zadané ministrem, politici s</w:t>
      </w:r>
      <w:r w:rsidR="00397D73">
        <w:rPr>
          <w:rFonts w:ascii="Times New Roman" w:hAnsi="Times New Roman" w:cs="Times New Roman"/>
          <w:sz w:val="24"/>
          <w:szCs w:val="24"/>
        </w:rPr>
        <w:t xml:space="preserve">i </w:t>
      </w:r>
      <w:r w:rsidR="00A865C8">
        <w:rPr>
          <w:rFonts w:ascii="Times New Roman" w:hAnsi="Times New Roman" w:cs="Times New Roman"/>
          <w:sz w:val="24"/>
          <w:szCs w:val="24"/>
        </w:rPr>
        <w:t xml:space="preserve">prý </w:t>
      </w:r>
      <w:r>
        <w:rPr>
          <w:rFonts w:ascii="Times New Roman" w:hAnsi="Times New Roman" w:cs="Times New Roman"/>
          <w:sz w:val="24"/>
          <w:szCs w:val="24"/>
        </w:rPr>
        <w:t>něco pro ochranu životního prostředí můž</w:t>
      </w:r>
      <w:r w:rsidR="00397D7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dovolit. </w:t>
      </w:r>
    </w:p>
    <w:p w:rsidR="005B0D79" w:rsidRDefault="00397D73" w:rsidP="005B0D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0D79">
        <w:rPr>
          <w:rFonts w:ascii="Times New Roman" w:hAnsi="Times New Roman" w:cs="Times New Roman"/>
          <w:sz w:val="24"/>
          <w:szCs w:val="24"/>
        </w:rPr>
        <w:t xml:space="preserve">lasičtí, marxističtí, keynesiánští i neoklasičtí ekonomové vesměs odmítají praxi dotování cen spotřebovávaných výrobků a služeb.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B0D79">
        <w:rPr>
          <w:rFonts w:ascii="Times New Roman" w:hAnsi="Times New Roman" w:cs="Times New Roman"/>
          <w:sz w:val="24"/>
          <w:szCs w:val="24"/>
        </w:rPr>
        <w:t>eoretici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D79">
        <w:rPr>
          <w:rFonts w:ascii="Times New Roman" w:hAnsi="Times New Roman" w:cs="Times New Roman"/>
          <w:sz w:val="24"/>
          <w:szCs w:val="24"/>
        </w:rPr>
        <w:t>míní, praktici včetně neoliberála RNDr. Martina Bursíka</w:t>
      </w:r>
      <w:r w:rsidRPr="0039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ignorují</w:t>
      </w:r>
      <w:r w:rsidR="005B0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3DE" w:rsidRPr="00715088" w:rsidRDefault="00715088" w:rsidP="00602F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088">
        <w:rPr>
          <w:rFonts w:ascii="Times New Roman" w:hAnsi="Times New Roman" w:cs="Times New Roman"/>
          <w:b/>
          <w:sz w:val="24"/>
          <w:szCs w:val="24"/>
        </w:rPr>
        <w:t>Ekologické kontroverze</w:t>
      </w:r>
    </w:p>
    <w:p w:rsidR="007E7922" w:rsidRDefault="00397D73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15088">
        <w:rPr>
          <w:rFonts w:ascii="Times New Roman" w:hAnsi="Times New Roman" w:cs="Times New Roman"/>
          <w:sz w:val="24"/>
          <w:szCs w:val="24"/>
        </w:rPr>
        <w:t>ezhlavý rozvoj OZE má i zjevná ekologická negativa. Vodní elektrárny vyžadují určité vodní díl</w:t>
      </w:r>
      <w:r w:rsidR="00A865C8">
        <w:rPr>
          <w:rFonts w:ascii="Times New Roman" w:hAnsi="Times New Roman" w:cs="Times New Roman"/>
          <w:sz w:val="24"/>
          <w:szCs w:val="24"/>
        </w:rPr>
        <w:t>o</w:t>
      </w:r>
      <w:r w:rsidR="00715088">
        <w:rPr>
          <w:rFonts w:ascii="Times New Roman" w:hAnsi="Times New Roman" w:cs="Times New Roman"/>
          <w:sz w:val="24"/>
          <w:szCs w:val="24"/>
        </w:rPr>
        <w:t>, zatopení určitého území a zničení jeho vodních poměrů. Škody jsou to značné</w:t>
      </w:r>
      <w:r w:rsidR="00CB3FEB">
        <w:rPr>
          <w:rFonts w:ascii="Times New Roman" w:hAnsi="Times New Roman" w:cs="Times New Roman"/>
          <w:sz w:val="24"/>
          <w:szCs w:val="24"/>
        </w:rPr>
        <w:t xml:space="preserve">. V ČR ale v roce 2003 větší </w:t>
      </w:r>
      <w:r w:rsidR="00715088">
        <w:rPr>
          <w:rFonts w:ascii="Times New Roman" w:hAnsi="Times New Roman" w:cs="Times New Roman"/>
          <w:sz w:val="24"/>
          <w:szCs w:val="24"/>
        </w:rPr>
        <w:t>rezerv</w:t>
      </w:r>
      <w:r w:rsidR="00CB3FEB">
        <w:rPr>
          <w:rFonts w:ascii="Times New Roman" w:hAnsi="Times New Roman" w:cs="Times New Roman"/>
          <w:sz w:val="24"/>
          <w:szCs w:val="24"/>
        </w:rPr>
        <w:t>y</w:t>
      </w:r>
      <w:r w:rsidR="00715088">
        <w:rPr>
          <w:rFonts w:ascii="Times New Roman" w:hAnsi="Times New Roman" w:cs="Times New Roman"/>
          <w:sz w:val="24"/>
          <w:szCs w:val="24"/>
        </w:rPr>
        <w:t xml:space="preserve"> </w:t>
      </w:r>
      <w:r w:rsidR="00437D43">
        <w:rPr>
          <w:rFonts w:ascii="Times New Roman" w:hAnsi="Times New Roman" w:cs="Times New Roman"/>
          <w:sz w:val="24"/>
          <w:szCs w:val="24"/>
        </w:rPr>
        <w:t xml:space="preserve">pro rozvoj vodní energetiky </w:t>
      </w:r>
      <w:r w:rsidR="00715088">
        <w:rPr>
          <w:rFonts w:ascii="Times New Roman" w:hAnsi="Times New Roman" w:cs="Times New Roman"/>
          <w:sz w:val="24"/>
          <w:szCs w:val="24"/>
        </w:rPr>
        <w:t xml:space="preserve">v ČR </w:t>
      </w:r>
      <w:r w:rsidR="00CB3FEB">
        <w:rPr>
          <w:rFonts w:ascii="Times New Roman" w:hAnsi="Times New Roman" w:cs="Times New Roman"/>
          <w:sz w:val="24"/>
          <w:szCs w:val="24"/>
        </w:rPr>
        <w:t>nebyly</w:t>
      </w:r>
      <w:r w:rsidR="00715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088" w:rsidRDefault="00715088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Energetické využívání biomasy je problematické v situaci, kdy ČR ztratila potravinovou soběstačnost</w:t>
      </w:r>
      <w:r w:rsidR="00CB3FEB">
        <w:rPr>
          <w:rFonts w:ascii="Times New Roman" w:hAnsi="Times New Roman" w:cs="Times New Roman"/>
          <w:sz w:val="24"/>
          <w:szCs w:val="24"/>
        </w:rPr>
        <w:t xml:space="preserve"> v mase</w:t>
      </w:r>
      <w:r>
        <w:rPr>
          <w:rFonts w:ascii="Times New Roman" w:hAnsi="Times New Roman" w:cs="Times New Roman"/>
          <w:sz w:val="24"/>
          <w:szCs w:val="24"/>
        </w:rPr>
        <w:t xml:space="preserve">. To ale vlády </w:t>
      </w:r>
      <w:r w:rsidR="00437D43">
        <w:rPr>
          <w:rFonts w:ascii="Times New Roman" w:hAnsi="Times New Roman" w:cs="Times New Roman"/>
          <w:sz w:val="24"/>
          <w:szCs w:val="24"/>
        </w:rPr>
        <w:t xml:space="preserve">po roce 1989 </w:t>
      </w:r>
      <w:r>
        <w:rPr>
          <w:rFonts w:ascii="Times New Roman" w:hAnsi="Times New Roman" w:cs="Times New Roman"/>
          <w:sz w:val="24"/>
          <w:szCs w:val="24"/>
        </w:rPr>
        <w:t xml:space="preserve">nezajímalo. </w:t>
      </w:r>
      <w:r w:rsidR="005B0D7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inak by </w:t>
      </w:r>
      <w:r w:rsidR="005B0D79">
        <w:rPr>
          <w:rFonts w:ascii="Times New Roman" w:hAnsi="Times New Roman" w:cs="Times New Roman"/>
          <w:sz w:val="24"/>
          <w:szCs w:val="24"/>
        </w:rPr>
        <w:t xml:space="preserve">ČR </w:t>
      </w:r>
      <w:r>
        <w:rPr>
          <w:rFonts w:ascii="Times New Roman" w:hAnsi="Times New Roman" w:cs="Times New Roman"/>
          <w:sz w:val="24"/>
          <w:szCs w:val="24"/>
        </w:rPr>
        <w:t>nemohla vstupovat do EU za</w:t>
      </w:r>
      <w:r w:rsidR="007E7922" w:rsidRPr="007E7922">
        <w:rPr>
          <w:rFonts w:ascii="Times New Roman" w:hAnsi="Times New Roman" w:cs="Times New Roman"/>
          <w:sz w:val="24"/>
          <w:szCs w:val="24"/>
        </w:rPr>
        <w:t xml:space="preserve"> </w:t>
      </w:r>
      <w:r w:rsidR="007E7922">
        <w:rPr>
          <w:rFonts w:ascii="Times New Roman" w:hAnsi="Times New Roman" w:cs="Times New Roman"/>
          <w:sz w:val="24"/>
          <w:szCs w:val="24"/>
        </w:rPr>
        <w:t>podmínek</w:t>
      </w:r>
      <w:r>
        <w:rPr>
          <w:rFonts w:ascii="Times New Roman" w:hAnsi="Times New Roman" w:cs="Times New Roman"/>
          <w:sz w:val="24"/>
          <w:szCs w:val="24"/>
        </w:rPr>
        <w:t xml:space="preserve"> pro zemědělství zjevně hrubě diskriminačních až l</w:t>
      </w:r>
      <w:r w:rsidR="005B0D79">
        <w:rPr>
          <w:rFonts w:ascii="Times New Roman" w:hAnsi="Times New Roman" w:cs="Times New Roman"/>
          <w:sz w:val="24"/>
          <w:szCs w:val="24"/>
        </w:rPr>
        <w:t xml:space="preserve">ikvidačních. </w:t>
      </w:r>
      <w:r>
        <w:rPr>
          <w:rFonts w:ascii="Times New Roman" w:hAnsi="Times New Roman" w:cs="Times New Roman"/>
          <w:sz w:val="24"/>
          <w:szCs w:val="24"/>
        </w:rPr>
        <w:t xml:space="preserve">Spalování biomasy </w:t>
      </w:r>
      <w:r w:rsidR="00365EAA">
        <w:rPr>
          <w:rFonts w:ascii="Times New Roman" w:hAnsi="Times New Roman" w:cs="Times New Roman"/>
          <w:sz w:val="24"/>
          <w:szCs w:val="24"/>
        </w:rPr>
        <w:t>provází</w:t>
      </w:r>
      <w:r>
        <w:rPr>
          <w:rFonts w:ascii="Times New Roman" w:hAnsi="Times New Roman" w:cs="Times New Roman"/>
          <w:sz w:val="24"/>
          <w:szCs w:val="24"/>
        </w:rPr>
        <w:t xml:space="preserve"> nemal</w:t>
      </w:r>
      <w:r w:rsidR="00365EA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emise tuhých znečišťujících látek </w:t>
      </w:r>
      <w:r w:rsidR="00A865C8">
        <w:rPr>
          <w:rFonts w:ascii="Times New Roman" w:hAnsi="Times New Roman" w:cs="Times New Roman"/>
          <w:sz w:val="24"/>
          <w:szCs w:val="24"/>
        </w:rPr>
        <w:t>a</w:t>
      </w:r>
      <w:r w:rsidR="0036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polyaromatických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uhlovodíků, nejednou horších než ty ze spalování uhlí. </w:t>
      </w:r>
    </w:p>
    <w:p w:rsidR="00715088" w:rsidRDefault="00715088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Bioplyn z kukuřice je kontroverzní</w:t>
      </w:r>
      <w:r w:rsidR="00397D73">
        <w:rPr>
          <w:rFonts w:ascii="Times New Roman" w:hAnsi="Times New Roman" w:cs="Times New Roman"/>
          <w:sz w:val="24"/>
          <w:szCs w:val="24"/>
        </w:rPr>
        <w:t>, neboť</w:t>
      </w:r>
      <w:r>
        <w:rPr>
          <w:rFonts w:ascii="Times New Roman" w:hAnsi="Times New Roman" w:cs="Times New Roman"/>
          <w:sz w:val="24"/>
          <w:szCs w:val="24"/>
        </w:rPr>
        <w:t xml:space="preserve"> kukuřice je nejerozivnější plodina a eroze je vážný problém ochrany půdy </w:t>
      </w:r>
      <w:r w:rsidR="007E7922">
        <w:rPr>
          <w:rFonts w:ascii="Times New Roman" w:hAnsi="Times New Roman" w:cs="Times New Roman"/>
          <w:sz w:val="24"/>
          <w:szCs w:val="24"/>
        </w:rPr>
        <w:t>u nás</w:t>
      </w:r>
      <w:r>
        <w:rPr>
          <w:rFonts w:ascii="Times New Roman" w:hAnsi="Times New Roman" w:cs="Times New Roman"/>
          <w:sz w:val="24"/>
          <w:szCs w:val="24"/>
        </w:rPr>
        <w:t xml:space="preserve">. Ornou půdu poškozuje i rozsáhlé pěstování řepky olejky, převážně pro výrobu bionafty, jejíž úhrnná energetická bilance je </w:t>
      </w:r>
      <w:r w:rsidR="00CB3FEB">
        <w:rPr>
          <w:rFonts w:ascii="Times New Roman" w:hAnsi="Times New Roman" w:cs="Times New Roman"/>
          <w:sz w:val="24"/>
          <w:szCs w:val="24"/>
        </w:rPr>
        <w:t>plus minus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C8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. Jde </w:t>
      </w:r>
      <w:r w:rsidR="005B0D79">
        <w:rPr>
          <w:rFonts w:ascii="Times New Roman" w:hAnsi="Times New Roman" w:cs="Times New Roman"/>
          <w:sz w:val="24"/>
          <w:szCs w:val="24"/>
        </w:rPr>
        <w:t>o zachraňování zemědělců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3FEB">
        <w:rPr>
          <w:rFonts w:ascii="Times New Roman" w:hAnsi="Times New Roman" w:cs="Times New Roman"/>
          <w:sz w:val="24"/>
          <w:szCs w:val="24"/>
        </w:rPr>
        <w:t xml:space="preserve">Pálení dřeva ve větším množství poškozuje dřevozpracující průmysl, který nemůže být v dodávkách dřeva na vedlejší koleji. Při svozu dřeva do výkonově </w:t>
      </w:r>
      <w:r w:rsidR="005B0D79">
        <w:rPr>
          <w:rFonts w:ascii="Times New Roman" w:hAnsi="Times New Roman" w:cs="Times New Roman"/>
          <w:sz w:val="24"/>
          <w:szCs w:val="24"/>
        </w:rPr>
        <w:t>velkých</w:t>
      </w:r>
      <w:r w:rsidR="00397D73">
        <w:rPr>
          <w:rFonts w:ascii="Times New Roman" w:hAnsi="Times New Roman" w:cs="Times New Roman"/>
          <w:sz w:val="24"/>
          <w:szCs w:val="24"/>
        </w:rPr>
        <w:t xml:space="preserve"> kotelen přes půl</w:t>
      </w:r>
      <w:r w:rsidR="00CB3FEB">
        <w:rPr>
          <w:rFonts w:ascii="Times New Roman" w:hAnsi="Times New Roman" w:cs="Times New Roman"/>
          <w:sz w:val="24"/>
          <w:szCs w:val="24"/>
        </w:rPr>
        <w:t xml:space="preserve"> republiky auty klesá i energetická efektivnost jeho spalování.</w:t>
      </w:r>
    </w:p>
    <w:p w:rsidR="00D063DE" w:rsidRDefault="00F06F13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Větrné elektrárny hyzdí krajinu</w:t>
      </w:r>
      <w:r w:rsidR="00CB3FEB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e větším množství nejvíc rozvrací elektrizační soustavu. </w:t>
      </w:r>
      <w:r w:rsidR="00CB3FEB">
        <w:rPr>
          <w:rFonts w:ascii="Times New Roman" w:hAnsi="Times New Roman" w:cs="Times New Roman"/>
          <w:sz w:val="24"/>
          <w:szCs w:val="24"/>
        </w:rPr>
        <w:t xml:space="preserve">Při malém rozsahu větrné energetiky ČR </w:t>
      </w:r>
      <w:r>
        <w:rPr>
          <w:rFonts w:ascii="Times New Roman" w:hAnsi="Times New Roman" w:cs="Times New Roman"/>
          <w:sz w:val="24"/>
          <w:szCs w:val="24"/>
        </w:rPr>
        <w:t xml:space="preserve">poznává </w:t>
      </w:r>
      <w:r w:rsidR="00A865C8">
        <w:rPr>
          <w:rFonts w:ascii="Times New Roman" w:hAnsi="Times New Roman" w:cs="Times New Roman"/>
          <w:sz w:val="24"/>
          <w:szCs w:val="24"/>
        </w:rPr>
        <w:t>ničivé</w:t>
      </w:r>
      <w:r>
        <w:rPr>
          <w:rFonts w:ascii="Times New Roman" w:hAnsi="Times New Roman" w:cs="Times New Roman"/>
          <w:sz w:val="24"/>
          <w:szCs w:val="24"/>
        </w:rPr>
        <w:t xml:space="preserve"> přetoky elektřiny z německých větrných elektráren na pobřeží Severního moře do přečerpávacích elektráren v Rakousku a opačně.</w:t>
      </w:r>
      <w:r w:rsidR="00CB3FEB">
        <w:rPr>
          <w:rFonts w:ascii="Times New Roman" w:hAnsi="Times New Roman" w:cs="Times New Roman"/>
          <w:sz w:val="24"/>
          <w:szCs w:val="24"/>
        </w:rPr>
        <w:t xml:space="preserve"> Nemalé škody způsobované takovými přetoky nám Německo nehradí. </w:t>
      </w:r>
    </w:p>
    <w:p w:rsidR="003C643E" w:rsidRPr="003C643E" w:rsidRDefault="00F06F13" w:rsidP="003C64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43E">
        <w:rPr>
          <w:rFonts w:ascii="Times New Roman" w:hAnsi="Times New Roman" w:cs="Times New Roman"/>
          <w:sz w:val="24"/>
          <w:szCs w:val="24"/>
        </w:rPr>
        <w:t>Fofovoltaické</w:t>
      </w:r>
      <w:proofErr w:type="spellEnd"/>
      <w:r w:rsidRPr="003C643E">
        <w:rPr>
          <w:rFonts w:ascii="Times New Roman" w:hAnsi="Times New Roman" w:cs="Times New Roman"/>
          <w:sz w:val="24"/>
          <w:szCs w:val="24"/>
        </w:rPr>
        <w:t xml:space="preserve"> elektrárny byly v</w:t>
      </w:r>
      <w:r w:rsidR="00CB3FEB" w:rsidRPr="003C643E">
        <w:rPr>
          <w:rFonts w:ascii="Times New Roman" w:hAnsi="Times New Roman" w:cs="Times New Roman"/>
          <w:sz w:val="24"/>
          <w:szCs w:val="24"/>
        </w:rPr>
        <w:t xml:space="preserve"> roce 2003 </w:t>
      </w:r>
      <w:r w:rsidRPr="003C643E">
        <w:rPr>
          <w:rFonts w:ascii="Times New Roman" w:hAnsi="Times New Roman" w:cs="Times New Roman"/>
          <w:sz w:val="24"/>
          <w:szCs w:val="24"/>
        </w:rPr>
        <w:t xml:space="preserve">enormně drahé – 30 Kč/kWh, zatímco velké uhelné a jaderné elektrárny produkovaly 1 kWh </w:t>
      </w:r>
      <w:r w:rsidR="00397D73">
        <w:rPr>
          <w:rFonts w:ascii="Times New Roman" w:hAnsi="Times New Roman" w:cs="Times New Roman"/>
          <w:sz w:val="24"/>
          <w:szCs w:val="24"/>
        </w:rPr>
        <w:t>elektřiny plus mínus za 1 Kč. J</w:t>
      </w:r>
      <w:r w:rsidRPr="003C643E">
        <w:rPr>
          <w:rFonts w:ascii="Times New Roman" w:hAnsi="Times New Roman" w:cs="Times New Roman"/>
          <w:sz w:val="24"/>
          <w:szCs w:val="24"/>
        </w:rPr>
        <w:t xml:space="preserve">ejich největší výrobci v Číně kvůli emisím neobyčejně silných skleníkových plynů </w:t>
      </w:r>
      <w:hyperlink r:id="rId6" w:anchor="_blank" w:history="1">
        <w:r w:rsidRPr="003C643E">
          <w:rPr>
            <w:rStyle w:val="Hypertextovodkaz"/>
            <w:rFonts w:ascii="Times New Roman" w:hAnsi="Times New Roman" w:cs="Times New Roman"/>
            <w:sz w:val="24"/>
            <w:szCs w:val="24"/>
          </w:rPr>
          <w:t>NF3</w:t>
        </w:r>
      </w:hyperlink>
      <w:r w:rsidRPr="003C643E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anchor="_blank" w:history="1">
        <w:r w:rsidRPr="003C643E">
          <w:rPr>
            <w:rStyle w:val="Hypertextovodkaz"/>
            <w:rFonts w:ascii="Times New Roman" w:hAnsi="Times New Roman" w:cs="Times New Roman"/>
            <w:sz w:val="24"/>
            <w:szCs w:val="24"/>
          </w:rPr>
          <w:t>SF6</w:t>
        </w:r>
      </w:hyperlink>
      <w:r w:rsidRPr="003C643E">
        <w:rPr>
          <w:rFonts w:ascii="Times New Roman" w:hAnsi="Times New Roman" w:cs="Times New Roman"/>
          <w:sz w:val="24"/>
          <w:szCs w:val="24"/>
        </w:rPr>
        <w:t xml:space="preserve"> a kvůli energii vydané na výrobu slunečních článků</w:t>
      </w:r>
      <w:r w:rsidR="00397D73">
        <w:rPr>
          <w:rFonts w:ascii="Times New Roman" w:hAnsi="Times New Roman" w:cs="Times New Roman"/>
          <w:sz w:val="24"/>
          <w:szCs w:val="24"/>
        </w:rPr>
        <w:t xml:space="preserve"> vytvářely situaci</w:t>
      </w:r>
      <w:r w:rsidRPr="003C643E">
        <w:rPr>
          <w:rFonts w:ascii="Times New Roman" w:hAnsi="Times New Roman" w:cs="Times New Roman"/>
          <w:sz w:val="24"/>
          <w:szCs w:val="24"/>
        </w:rPr>
        <w:t xml:space="preserve">, </w:t>
      </w:r>
      <w:r w:rsidR="00397D73">
        <w:rPr>
          <w:rFonts w:ascii="Times New Roman" w:hAnsi="Times New Roman" w:cs="Times New Roman"/>
          <w:sz w:val="24"/>
          <w:szCs w:val="24"/>
        </w:rPr>
        <w:t>kdy</w:t>
      </w:r>
      <w:r w:rsidRPr="003C643E">
        <w:rPr>
          <w:rFonts w:ascii="Times New Roman" w:hAnsi="Times New Roman" w:cs="Times New Roman"/>
          <w:sz w:val="24"/>
          <w:szCs w:val="24"/>
        </w:rPr>
        <w:t xml:space="preserve"> sluneční ener</w:t>
      </w:r>
      <w:r w:rsidR="00365EAA" w:rsidRPr="003C643E">
        <w:rPr>
          <w:rFonts w:ascii="Times New Roman" w:hAnsi="Times New Roman" w:cs="Times New Roman"/>
          <w:sz w:val="24"/>
          <w:szCs w:val="24"/>
        </w:rPr>
        <w:t>gii</w:t>
      </w:r>
      <w:r w:rsidRPr="003C643E">
        <w:rPr>
          <w:rFonts w:ascii="Times New Roman" w:hAnsi="Times New Roman" w:cs="Times New Roman"/>
          <w:sz w:val="24"/>
          <w:szCs w:val="24"/>
        </w:rPr>
        <w:t xml:space="preserve"> </w:t>
      </w:r>
      <w:r w:rsidR="00397D73">
        <w:rPr>
          <w:rFonts w:ascii="Times New Roman" w:hAnsi="Times New Roman" w:cs="Times New Roman"/>
          <w:sz w:val="24"/>
          <w:szCs w:val="24"/>
        </w:rPr>
        <w:t>byly</w:t>
      </w:r>
      <w:r w:rsidRPr="003C643E">
        <w:rPr>
          <w:rFonts w:ascii="Times New Roman" w:hAnsi="Times New Roman" w:cs="Times New Roman"/>
          <w:sz w:val="24"/>
          <w:szCs w:val="24"/>
        </w:rPr>
        <w:t xml:space="preserve"> pro klima horší než pálení uhlí</w:t>
      </w:r>
      <w:r w:rsidR="003C643E" w:rsidRPr="003C643E">
        <w:rPr>
          <w:rFonts w:ascii="Times New Roman" w:hAnsi="Times New Roman" w:cs="Times New Roman"/>
          <w:sz w:val="24"/>
          <w:szCs w:val="24"/>
        </w:rPr>
        <w:t xml:space="preserve">, viz </w:t>
      </w:r>
      <w:hyperlink r:id="rId8" w:history="1">
        <w:r w:rsidR="003C643E" w:rsidRPr="003C64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http://www.ac24.cz/zpravy-ze-sveta/3727-analyza-ukazuje-ze-solarni-jednotky-zpusobuji-vice-emisi-sklenikovych-plynu-nez-moderni-uhelne-elektrarny</w:t>
        </w:r>
      </w:hyperlink>
    </w:p>
    <w:p w:rsidR="00365EAA" w:rsidRDefault="00365EAA" w:rsidP="00F06F13">
      <w:pPr>
        <w:pStyle w:val="Zkladntext"/>
        <w:jc w:val="both"/>
      </w:pPr>
      <w:r>
        <w:t xml:space="preserve">Bursík sliboval podporu </w:t>
      </w:r>
      <w:r w:rsidR="004B5082">
        <w:t xml:space="preserve">venkovu, </w:t>
      </w:r>
      <w:r>
        <w:t>středním vrstvám</w:t>
      </w:r>
      <w:r w:rsidR="004B5082">
        <w:t xml:space="preserve"> a</w:t>
      </w:r>
      <w:r>
        <w:t xml:space="preserve"> tvorbě pracovních míst. </w:t>
      </w:r>
      <w:r w:rsidR="004B5082">
        <w:t>Podporou OZE nezávisle na výkonu r</w:t>
      </w:r>
      <w:r>
        <w:t xml:space="preserve">eálně podpořil hlavně velké investory. Nová pracovní místa podpořil zejména v Číně. </w:t>
      </w:r>
      <w:r w:rsidR="005B0D79">
        <w:t>V</w:t>
      </w:r>
      <w:r w:rsidR="004B5082">
        <w:t xml:space="preserve"> solární energetice si </w:t>
      </w:r>
      <w:r>
        <w:t xml:space="preserve">čeští výrobci ani „neškrtli“, němečtí podlehli čínské konkurenci. Drobní investoři příštipkařili. </w:t>
      </w:r>
      <w:r w:rsidR="004B5082">
        <w:t>E</w:t>
      </w:r>
      <w:r>
        <w:t>lektrick</w:t>
      </w:r>
      <w:r w:rsidR="004B5082">
        <w:t>á</w:t>
      </w:r>
      <w:r>
        <w:t xml:space="preserve"> energie</w:t>
      </w:r>
      <w:r w:rsidR="004B5082">
        <w:t xml:space="preserve"> citelně zdražila</w:t>
      </w:r>
      <w:r>
        <w:t>.</w:t>
      </w:r>
      <w:r w:rsidR="004B5082">
        <w:t xml:space="preserve"> </w:t>
      </w:r>
    </w:p>
    <w:p w:rsidR="00F06F13" w:rsidRPr="00F06F13" w:rsidRDefault="004B5082" w:rsidP="00602F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Tragédie začíná</w:t>
      </w:r>
    </w:p>
    <w:p w:rsidR="00F06F13" w:rsidRDefault="007E7922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2005 Sněmovna</w:t>
      </w:r>
      <w:r w:rsidR="00F06F13">
        <w:rPr>
          <w:rFonts w:ascii="Times New Roman" w:hAnsi="Times New Roman" w:cs="Times New Roman"/>
          <w:sz w:val="24"/>
          <w:szCs w:val="24"/>
        </w:rPr>
        <w:t xml:space="preserve"> schvaluje zákon o podpoře výroby elektřiny z OZE s tím, že cena z nových výroben se nesmí snižovat z roku na rok </w:t>
      </w:r>
      <w:r w:rsidR="005B0D79">
        <w:rPr>
          <w:rFonts w:ascii="Times New Roman" w:hAnsi="Times New Roman" w:cs="Times New Roman"/>
          <w:sz w:val="24"/>
          <w:szCs w:val="24"/>
        </w:rPr>
        <w:t xml:space="preserve">nikoliv o víc než 10 %, ale maximálně </w:t>
      </w:r>
      <w:r w:rsidR="00F06F13">
        <w:rPr>
          <w:rFonts w:ascii="Times New Roman" w:hAnsi="Times New Roman" w:cs="Times New Roman"/>
          <w:sz w:val="24"/>
          <w:szCs w:val="24"/>
        </w:rPr>
        <w:t xml:space="preserve">o 5 %. Pro ilustraci, v jednom roce se náklady a tím i výkupní cena </w:t>
      </w:r>
      <w:r w:rsidR="004B5082">
        <w:rPr>
          <w:rFonts w:ascii="Times New Roman" w:hAnsi="Times New Roman" w:cs="Times New Roman"/>
          <w:sz w:val="24"/>
          <w:szCs w:val="24"/>
        </w:rPr>
        <w:t xml:space="preserve">elektřiny z OZE </w:t>
      </w:r>
      <w:r w:rsidR="00F06F13">
        <w:rPr>
          <w:rFonts w:ascii="Times New Roman" w:hAnsi="Times New Roman" w:cs="Times New Roman"/>
          <w:sz w:val="24"/>
          <w:szCs w:val="24"/>
        </w:rPr>
        <w:t>zdvojnásobí, v</w:t>
      </w:r>
      <w:r w:rsidR="004B5082">
        <w:rPr>
          <w:rFonts w:ascii="Times New Roman" w:hAnsi="Times New Roman" w:cs="Times New Roman"/>
          <w:sz w:val="24"/>
          <w:szCs w:val="24"/>
        </w:rPr>
        <w:t> </w:t>
      </w:r>
      <w:r w:rsidR="00F06F13">
        <w:rPr>
          <w:rFonts w:ascii="Times New Roman" w:hAnsi="Times New Roman" w:cs="Times New Roman"/>
          <w:sz w:val="24"/>
          <w:szCs w:val="24"/>
        </w:rPr>
        <w:t>další</w:t>
      </w:r>
      <w:r w:rsidR="004B5082">
        <w:rPr>
          <w:rFonts w:ascii="Times New Roman" w:hAnsi="Times New Roman" w:cs="Times New Roman"/>
          <w:sz w:val="24"/>
          <w:szCs w:val="24"/>
        </w:rPr>
        <w:t>m roce může klesnout na polovinu, ale</w:t>
      </w:r>
      <w:r w:rsidR="00F06F13">
        <w:rPr>
          <w:rFonts w:ascii="Times New Roman" w:hAnsi="Times New Roman" w:cs="Times New Roman"/>
          <w:sz w:val="24"/>
          <w:szCs w:val="24"/>
        </w:rPr>
        <w:t xml:space="preserve"> </w:t>
      </w:r>
      <w:r w:rsidR="00A865C8">
        <w:rPr>
          <w:rFonts w:ascii="Times New Roman" w:hAnsi="Times New Roman" w:cs="Times New Roman"/>
          <w:sz w:val="24"/>
          <w:szCs w:val="24"/>
        </w:rPr>
        <w:t xml:space="preserve">výkupní cena se může </w:t>
      </w:r>
      <w:r w:rsidR="00F06F13">
        <w:rPr>
          <w:rFonts w:ascii="Times New Roman" w:hAnsi="Times New Roman" w:cs="Times New Roman"/>
          <w:sz w:val="24"/>
          <w:szCs w:val="24"/>
        </w:rPr>
        <w:t>snižovat maximálně o 5 %</w:t>
      </w:r>
      <w:r w:rsidR="004B5082">
        <w:rPr>
          <w:rFonts w:ascii="Times New Roman" w:hAnsi="Times New Roman" w:cs="Times New Roman"/>
          <w:sz w:val="24"/>
          <w:szCs w:val="24"/>
        </w:rPr>
        <w:t xml:space="preserve"> za rok</w:t>
      </w:r>
      <w:r w:rsidR="00F06F13">
        <w:rPr>
          <w:rFonts w:ascii="Times New Roman" w:hAnsi="Times New Roman" w:cs="Times New Roman"/>
          <w:sz w:val="24"/>
          <w:szCs w:val="24"/>
        </w:rPr>
        <w:t>. Šílený mechanismus</w:t>
      </w:r>
      <w:r w:rsidR="004B5082">
        <w:rPr>
          <w:rFonts w:ascii="Times New Roman" w:hAnsi="Times New Roman" w:cs="Times New Roman"/>
          <w:sz w:val="24"/>
          <w:szCs w:val="24"/>
        </w:rPr>
        <w:t>. V</w:t>
      </w:r>
      <w:r w:rsidR="00365EAA">
        <w:rPr>
          <w:rFonts w:ascii="Times New Roman" w:hAnsi="Times New Roman" w:cs="Times New Roman"/>
          <w:sz w:val="24"/>
          <w:szCs w:val="24"/>
        </w:rPr>
        <w:t xml:space="preserve">olají po trhu, </w:t>
      </w:r>
      <w:r w:rsidR="004B5082">
        <w:rPr>
          <w:rFonts w:ascii="Times New Roman" w:hAnsi="Times New Roman" w:cs="Times New Roman"/>
          <w:sz w:val="24"/>
          <w:szCs w:val="24"/>
        </w:rPr>
        <w:t xml:space="preserve">ale trh nehorázně </w:t>
      </w:r>
      <w:r w:rsidR="00365EAA">
        <w:rPr>
          <w:rFonts w:ascii="Times New Roman" w:hAnsi="Times New Roman" w:cs="Times New Roman"/>
          <w:sz w:val="24"/>
          <w:szCs w:val="24"/>
        </w:rPr>
        <w:t>znásilňují a pak se diví, že se trh chová „tržně“. Mé varování připomínalo</w:t>
      </w:r>
      <w:r w:rsidR="00F06F13">
        <w:rPr>
          <w:rFonts w:ascii="Times New Roman" w:hAnsi="Times New Roman" w:cs="Times New Roman"/>
          <w:sz w:val="24"/>
          <w:szCs w:val="24"/>
        </w:rPr>
        <w:t xml:space="preserve"> volání na poušti. Do roku 2008 se </w:t>
      </w:r>
      <w:r w:rsidR="00397D73">
        <w:rPr>
          <w:rFonts w:ascii="Times New Roman" w:hAnsi="Times New Roman" w:cs="Times New Roman"/>
          <w:sz w:val="24"/>
          <w:szCs w:val="24"/>
        </w:rPr>
        <w:t xml:space="preserve">ani při výkupní ceně asi 13 Kč/kWh </w:t>
      </w:r>
      <w:proofErr w:type="spellStart"/>
      <w:r w:rsidR="00397D73">
        <w:rPr>
          <w:rFonts w:ascii="Times New Roman" w:hAnsi="Times New Roman" w:cs="Times New Roman"/>
          <w:sz w:val="24"/>
          <w:szCs w:val="24"/>
        </w:rPr>
        <w:t>fotovoltaické</w:t>
      </w:r>
      <w:proofErr w:type="spellEnd"/>
      <w:r w:rsidR="00397D73">
        <w:rPr>
          <w:rFonts w:ascii="Times New Roman" w:hAnsi="Times New Roman" w:cs="Times New Roman"/>
          <w:sz w:val="24"/>
          <w:szCs w:val="24"/>
        </w:rPr>
        <w:t xml:space="preserve"> elektřiny </w:t>
      </w:r>
      <w:r w:rsidR="00A865C8">
        <w:rPr>
          <w:rFonts w:ascii="Times New Roman" w:hAnsi="Times New Roman" w:cs="Times New Roman"/>
          <w:sz w:val="24"/>
          <w:szCs w:val="24"/>
        </w:rPr>
        <w:t>mnoho</w:t>
      </w:r>
      <w:r w:rsidR="00F06F13">
        <w:rPr>
          <w:rFonts w:ascii="Times New Roman" w:hAnsi="Times New Roman" w:cs="Times New Roman"/>
          <w:sz w:val="24"/>
          <w:szCs w:val="24"/>
        </w:rPr>
        <w:t xml:space="preserve"> nedě</w:t>
      </w:r>
      <w:r w:rsidR="004B5082">
        <w:rPr>
          <w:rFonts w:ascii="Times New Roman" w:hAnsi="Times New Roman" w:cs="Times New Roman"/>
          <w:sz w:val="24"/>
          <w:szCs w:val="24"/>
        </w:rPr>
        <w:t>lo</w:t>
      </w:r>
      <w:r w:rsidR="00F06F13">
        <w:rPr>
          <w:rFonts w:ascii="Times New Roman" w:hAnsi="Times New Roman" w:cs="Times New Roman"/>
          <w:sz w:val="24"/>
          <w:szCs w:val="24"/>
        </w:rPr>
        <w:t>. P</w:t>
      </w:r>
      <w:r w:rsidR="00A865C8">
        <w:rPr>
          <w:rFonts w:ascii="Times New Roman" w:hAnsi="Times New Roman" w:cs="Times New Roman"/>
          <w:sz w:val="24"/>
          <w:szCs w:val="24"/>
        </w:rPr>
        <w:t>ak</w:t>
      </w:r>
      <w:r w:rsidR="00F06F13">
        <w:rPr>
          <w:rFonts w:ascii="Times New Roman" w:hAnsi="Times New Roman" w:cs="Times New Roman"/>
          <w:sz w:val="24"/>
          <w:szCs w:val="24"/>
        </w:rPr>
        <w:t xml:space="preserve"> se zásadně zlevň</w:t>
      </w:r>
      <w:r w:rsidR="004B5082">
        <w:rPr>
          <w:rFonts w:ascii="Times New Roman" w:hAnsi="Times New Roman" w:cs="Times New Roman"/>
          <w:sz w:val="24"/>
          <w:szCs w:val="24"/>
        </w:rPr>
        <w:t>ovala</w:t>
      </w:r>
      <w:r w:rsidR="00F06F13">
        <w:rPr>
          <w:rFonts w:ascii="Times New Roman" w:hAnsi="Times New Roman" w:cs="Times New Roman"/>
          <w:sz w:val="24"/>
          <w:szCs w:val="24"/>
        </w:rPr>
        <w:t xml:space="preserve"> výroba </w:t>
      </w:r>
      <w:proofErr w:type="spellStart"/>
      <w:r w:rsidR="00F06F13">
        <w:rPr>
          <w:rFonts w:ascii="Times New Roman" w:hAnsi="Times New Roman" w:cs="Times New Roman"/>
          <w:sz w:val="24"/>
          <w:szCs w:val="24"/>
        </w:rPr>
        <w:t>fotovoltaických</w:t>
      </w:r>
      <w:proofErr w:type="spellEnd"/>
      <w:r w:rsidR="00F06F13">
        <w:rPr>
          <w:rFonts w:ascii="Times New Roman" w:hAnsi="Times New Roman" w:cs="Times New Roman"/>
          <w:sz w:val="24"/>
          <w:szCs w:val="24"/>
        </w:rPr>
        <w:t xml:space="preserve"> panel</w:t>
      </w:r>
      <w:r w:rsidR="005B0D79">
        <w:rPr>
          <w:rFonts w:ascii="Times New Roman" w:hAnsi="Times New Roman" w:cs="Times New Roman"/>
          <w:sz w:val="24"/>
          <w:szCs w:val="24"/>
        </w:rPr>
        <w:t>ů</w:t>
      </w:r>
      <w:r w:rsidR="00F06F13">
        <w:rPr>
          <w:rFonts w:ascii="Times New Roman" w:hAnsi="Times New Roman" w:cs="Times New Roman"/>
          <w:sz w:val="24"/>
          <w:szCs w:val="24"/>
        </w:rPr>
        <w:t xml:space="preserve"> v Číně. Zač</w:t>
      </w:r>
      <w:r w:rsidR="004B5082">
        <w:rPr>
          <w:rFonts w:ascii="Times New Roman" w:hAnsi="Times New Roman" w:cs="Times New Roman"/>
          <w:sz w:val="24"/>
          <w:szCs w:val="24"/>
        </w:rPr>
        <w:t>ala</w:t>
      </w:r>
      <w:r w:rsidR="00F06F13">
        <w:rPr>
          <w:rFonts w:ascii="Times New Roman" w:hAnsi="Times New Roman" w:cs="Times New Roman"/>
          <w:sz w:val="24"/>
          <w:szCs w:val="24"/>
        </w:rPr>
        <w:t xml:space="preserve"> zlatá éra</w:t>
      </w:r>
      <w:r w:rsidR="004B5082">
        <w:rPr>
          <w:rFonts w:ascii="Times New Roman" w:hAnsi="Times New Roman" w:cs="Times New Roman"/>
          <w:sz w:val="24"/>
          <w:szCs w:val="24"/>
        </w:rPr>
        <w:t xml:space="preserve"> solárních baronů v ČR. Vláda měla</w:t>
      </w:r>
      <w:r w:rsidR="00F06F13">
        <w:rPr>
          <w:rFonts w:ascii="Times New Roman" w:hAnsi="Times New Roman" w:cs="Times New Roman"/>
          <w:sz w:val="24"/>
          <w:szCs w:val="24"/>
        </w:rPr>
        <w:t xml:space="preserve"> reagovat</w:t>
      </w:r>
      <w:r w:rsidR="004B5082">
        <w:rPr>
          <w:rFonts w:ascii="Times New Roman" w:hAnsi="Times New Roman" w:cs="Times New Roman"/>
          <w:sz w:val="24"/>
          <w:szCs w:val="24"/>
        </w:rPr>
        <w:t xml:space="preserve"> </w:t>
      </w:r>
      <w:r w:rsidR="004B5082">
        <w:rPr>
          <w:rFonts w:ascii="Times New Roman" w:hAnsi="Times New Roman" w:cs="Times New Roman"/>
          <w:sz w:val="24"/>
          <w:szCs w:val="24"/>
        </w:rPr>
        <w:lastRenderedPageBreak/>
        <w:t>změnou zákona, zrušit těch idiotských 5 %. N</w:t>
      </w:r>
      <w:r w:rsidR="00F06F13">
        <w:rPr>
          <w:rFonts w:ascii="Times New Roman" w:hAnsi="Times New Roman" w:cs="Times New Roman"/>
          <w:sz w:val="24"/>
          <w:szCs w:val="24"/>
        </w:rPr>
        <w:t>ereag</w:t>
      </w:r>
      <w:r w:rsidR="004B5082">
        <w:rPr>
          <w:rFonts w:ascii="Times New Roman" w:hAnsi="Times New Roman" w:cs="Times New Roman"/>
          <w:sz w:val="24"/>
          <w:szCs w:val="24"/>
        </w:rPr>
        <w:t>ovala</w:t>
      </w:r>
      <w:r w:rsidR="00F06F13">
        <w:rPr>
          <w:rFonts w:ascii="Times New Roman" w:hAnsi="Times New Roman" w:cs="Times New Roman"/>
          <w:sz w:val="24"/>
          <w:szCs w:val="24"/>
        </w:rPr>
        <w:t>. Tehdejší šéf zelených ministr životního prostředí Martin Buršík hroz</w:t>
      </w:r>
      <w:r w:rsidR="008C46BE">
        <w:rPr>
          <w:rFonts w:ascii="Times New Roman" w:hAnsi="Times New Roman" w:cs="Times New Roman"/>
          <w:sz w:val="24"/>
          <w:szCs w:val="24"/>
        </w:rPr>
        <w:t>il</w:t>
      </w:r>
      <w:r w:rsidR="00F06F13">
        <w:rPr>
          <w:rFonts w:ascii="Times New Roman" w:hAnsi="Times New Roman" w:cs="Times New Roman"/>
          <w:sz w:val="24"/>
          <w:szCs w:val="24"/>
        </w:rPr>
        <w:t xml:space="preserve"> shoze</w:t>
      </w:r>
      <w:r w:rsidR="004B5082">
        <w:rPr>
          <w:rFonts w:ascii="Times New Roman" w:hAnsi="Times New Roman" w:cs="Times New Roman"/>
          <w:sz w:val="24"/>
          <w:szCs w:val="24"/>
        </w:rPr>
        <w:t xml:space="preserve">ním vlády. </w:t>
      </w:r>
      <w:r w:rsidR="008C46BE">
        <w:rPr>
          <w:rFonts w:ascii="Times New Roman" w:hAnsi="Times New Roman" w:cs="Times New Roman"/>
          <w:sz w:val="24"/>
          <w:szCs w:val="24"/>
        </w:rPr>
        <w:t>K jejímu pádu</w:t>
      </w:r>
      <w:r w:rsidR="004B5082">
        <w:rPr>
          <w:rFonts w:ascii="Times New Roman" w:hAnsi="Times New Roman" w:cs="Times New Roman"/>
          <w:sz w:val="24"/>
          <w:szCs w:val="24"/>
        </w:rPr>
        <w:t xml:space="preserve"> v březnu 2009 </w:t>
      </w:r>
      <w:r w:rsidR="008C46BE">
        <w:rPr>
          <w:rFonts w:ascii="Times New Roman" w:hAnsi="Times New Roman" w:cs="Times New Roman"/>
          <w:sz w:val="24"/>
          <w:szCs w:val="24"/>
        </w:rPr>
        <w:t>p</w:t>
      </w:r>
      <w:r w:rsidR="004B5082">
        <w:rPr>
          <w:rFonts w:ascii="Times New Roman" w:hAnsi="Times New Roman" w:cs="Times New Roman"/>
          <w:sz w:val="24"/>
          <w:szCs w:val="24"/>
        </w:rPr>
        <w:t>řispěl</w:t>
      </w:r>
      <w:r w:rsidR="008C46BE">
        <w:rPr>
          <w:rFonts w:ascii="Times New Roman" w:hAnsi="Times New Roman" w:cs="Times New Roman"/>
          <w:sz w:val="24"/>
          <w:szCs w:val="24"/>
        </w:rPr>
        <w:t xml:space="preserve"> i známý Bursík</w:t>
      </w:r>
      <w:r w:rsidR="004B5082">
        <w:rPr>
          <w:rFonts w:ascii="Times New Roman" w:hAnsi="Times New Roman" w:cs="Times New Roman"/>
          <w:sz w:val="24"/>
          <w:szCs w:val="24"/>
        </w:rPr>
        <w:t>ův e mail, kde si se svými kolegyněmi poslankyněmi vypláchl ústa. Z</w:t>
      </w:r>
      <w:r w:rsidR="00F06F13">
        <w:rPr>
          <w:rFonts w:ascii="Times New Roman" w:hAnsi="Times New Roman" w:cs="Times New Roman"/>
          <w:sz w:val="24"/>
          <w:szCs w:val="24"/>
        </w:rPr>
        <w:t xml:space="preserve">elení </w:t>
      </w:r>
      <w:r w:rsidR="004B5082">
        <w:rPr>
          <w:rFonts w:ascii="Times New Roman" w:hAnsi="Times New Roman" w:cs="Times New Roman"/>
          <w:sz w:val="24"/>
          <w:szCs w:val="24"/>
        </w:rPr>
        <w:t xml:space="preserve">ale </w:t>
      </w:r>
      <w:r w:rsidR="00365EAA">
        <w:rPr>
          <w:rFonts w:ascii="Times New Roman" w:hAnsi="Times New Roman" w:cs="Times New Roman"/>
          <w:sz w:val="24"/>
          <w:szCs w:val="24"/>
        </w:rPr>
        <w:t xml:space="preserve">ve vládě </w:t>
      </w:r>
      <w:r w:rsidR="004B5082">
        <w:rPr>
          <w:rFonts w:ascii="Times New Roman" w:hAnsi="Times New Roman" w:cs="Times New Roman"/>
          <w:sz w:val="24"/>
          <w:szCs w:val="24"/>
        </w:rPr>
        <w:t xml:space="preserve">zůstali a dál úspěšně </w:t>
      </w:r>
      <w:r w:rsidR="00F06F13">
        <w:rPr>
          <w:rFonts w:ascii="Times New Roman" w:hAnsi="Times New Roman" w:cs="Times New Roman"/>
          <w:sz w:val="24"/>
          <w:szCs w:val="24"/>
        </w:rPr>
        <w:t>blok</w:t>
      </w:r>
      <w:r w:rsidR="004B5082">
        <w:rPr>
          <w:rFonts w:ascii="Times New Roman" w:hAnsi="Times New Roman" w:cs="Times New Roman"/>
          <w:sz w:val="24"/>
          <w:szCs w:val="24"/>
        </w:rPr>
        <w:t>ovali</w:t>
      </w:r>
      <w:r w:rsidR="00F06F13">
        <w:rPr>
          <w:rFonts w:ascii="Times New Roman" w:hAnsi="Times New Roman" w:cs="Times New Roman"/>
          <w:sz w:val="24"/>
          <w:szCs w:val="24"/>
        </w:rPr>
        <w:t xml:space="preserve"> nápravu</w:t>
      </w:r>
      <w:r w:rsidR="004B5082">
        <w:rPr>
          <w:rFonts w:ascii="Times New Roman" w:hAnsi="Times New Roman" w:cs="Times New Roman"/>
          <w:sz w:val="24"/>
          <w:szCs w:val="24"/>
        </w:rPr>
        <w:t>. S podporou některých dalších politiků</w:t>
      </w:r>
      <w:r w:rsidR="008C46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C46BE">
        <w:rPr>
          <w:rFonts w:ascii="Times New Roman" w:hAnsi="Times New Roman" w:cs="Times New Roman"/>
          <w:sz w:val="24"/>
          <w:szCs w:val="24"/>
        </w:rPr>
        <w:t>lobystů</w:t>
      </w:r>
      <w:proofErr w:type="spellEnd"/>
      <w:r w:rsidR="004B5082">
        <w:rPr>
          <w:rFonts w:ascii="Times New Roman" w:hAnsi="Times New Roman" w:cs="Times New Roman"/>
          <w:sz w:val="24"/>
          <w:szCs w:val="24"/>
        </w:rPr>
        <w:t xml:space="preserve">, kteří se zde rozhodli </w:t>
      </w:r>
      <w:r w:rsidR="00397D73">
        <w:rPr>
          <w:rFonts w:ascii="Times New Roman" w:hAnsi="Times New Roman" w:cs="Times New Roman"/>
          <w:sz w:val="24"/>
          <w:szCs w:val="24"/>
        </w:rPr>
        <w:t>nestoudně obohatit,</w:t>
      </w:r>
      <w:r w:rsidR="004B5082">
        <w:rPr>
          <w:rFonts w:ascii="Times New Roman" w:hAnsi="Times New Roman" w:cs="Times New Roman"/>
          <w:sz w:val="24"/>
          <w:szCs w:val="24"/>
        </w:rPr>
        <w:t xml:space="preserve"> </w:t>
      </w:r>
      <w:r w:rsidR="00397D73">
        <w:rPr>
          <w:rFonts w:ascii="Times New Roman" w:hAnsi="Times New Roman" w:cs="Times New Roman"/>
          <w:sz w:val="24"/>
          <w:szCs w:val="24"/>
        </w:rPr>
        <w:t>vytvořili</w:t>
      </w:r>
      <w:r w:rsidR="00F06F13">
        <w:rPr>
          <w:rFonts w:ascii="Times New Roman" w:hAnsi="Times New Roman" w:cs="Times New Roman"/>
          <w:sz w:val="24"/>
          <w:szCs w:val="24"/>
        </w:rPr>
        <w:t xml:space="preserve"> obří </w:t>
      </w:r>
      <w:proofErr w:type="spellStart"/>
      <w:r w:rsidR="00F06F13">
        <w:rPr>
          <w:rFonts w:ascii="Times New Roman" w:hAnsi="Times New Roman" w:cs="Times New Roman"/>
          <w:sz w:val="24"/>
          <w:szCs w:val="24"/>
        </w:rPr>
        <w:t>fotovoltaický</w:t>
      </w:r>
      <w:proofErr w:type="spellEnd"/>
      <w:r w:rsidR="00F06F13">
        <w:rPr>
          <w:rFonts w:ascii="Times New Roman" w:hAnsi="Times New Roman" w:cs="Times New Roman"/>
          <w:sz w:val="24"/>
          <w:szCs w:val="24"/>
        </w:rPr>
        <w:t xml:space="preserve"> tunel.</w:t>
      </w:r>
    </w:p>
    <w:p w:rsidR="00365EAA" w:rsidRDefault="00F06F13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přijatá po volbách na podzim 2010 při</w:t>
      </w:r>
      <w:r w:rsidR="008C46BE">
        <w:rPr>
          <w:rFonts w:ascii="Times New Roman" w:hAnsi="Times New Roman" w:cs="Times New Roman"/>
          <w:sz w:val="24"/>
          <w:szCs w:val="24"/>
        </w:rPr>
        <w:t>šla</w:t>
      </w:r>
      <w:r>
        <w:rPr>
          <w:rFonts w:ascii="Times New Roman" w:hAnsi="Times New Roman" w:cs="Times New Roman"/>
          <w:sz w:val="24"/>
          <w:szCs w:val="24"/>
        </w:rPr>
        <w:t xml:space="preserve"> absolutně pozdě. Nejvyšší kontrolní úřad </w:t>
      </w:r>
      <w:r w:rsidR="008C46BE">
        <w:rPr>
          <w:rFonts w:ascii="Times New Roman" w:hAnsi="Times New Roman" w:cs="Times New Roman"/>
          <w:sz w:val="24"/>
          <w:szCs w:val="24"/>
        </w:rPr>
        <w:t>v roce 2013 vypočítal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8C46BE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podpora OZE bude v úhrnu stát 400 – 1000 miliard korun. Střední hodnota mu vy</w:t>
      </w:r>
      <w:r w:rsidR="008C46BE">
        <w:rPr>
          <w:rFonts w:ascii="Times New Roman" w:hAnsi="Times New Roman" w:cs="Times New Roman"/>
          <w:sz w:val="24"/>
          <w:szCs w:val="24"/>
        </w:rPr>
        <w:t>šla na</w:t>
      </w:r>
      <w:r>
        <w:rPr>
          <w:rFonts w:ascii="Times New Roman" w:hAnsi="Times New Roman" w:cs="Times New Roman"/>
          <w:sz w:val="24"/>
          <w:szCs w:val="24"/>
        </w:rPr>
        <w:t xml:space="preserve"> 600 miliard korun. </w:t>
      </w:r>
      <w:r w:rsidR="00365EAA">
        <w:rPr>
          <w:rFonts w:ascii="Times New Roman" w:hAnsi="Times New Roman" w:cs="Times New Roman"/>
          <w:sz w:val="24"/>
          <w:szCs w:val="24"/>
        </w:rPr>
        <w:t>Reálná data ukazuje tabulka č. 1:</w:t>
      </w:r>
    </w:p>
    <w:p w:rsidR="00365EAA" w:rsidRDefault="00365EAA" w:rsidP="00365EA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286">
        <w:rPr>
          <w:rFonts w:ascii="Times New Roman" w:hAnsi="Times New Roman" w:cs="Times New Roman"/>
          <w:b/>
          <w:sz w:val="24"/>
          <w:szCs w:val="24"/>
        </w:rPr>
        <w:t>Tabulka č. 1 – podpora OZE v ČR v mil. Kč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94"/>
        <w:gridCol w:w="1134"/>
        <w:gridCol w:w="860"/>
        <w:gridCol w:w="851"/>
        <w:gridCol w:w="1134"/>
        <w:gridCol w:w="2128"/>
      </w:tblGrid>
      <w:tr w:rsidR="004237EA" w:rsidRPr="004237EA" w:rsidTr="004237EA">
        <w:trPr>
          <w:trHeight w:val="835"/>
        </w:trPr>
        <w:tc>
          <w:tcPr>
            <w:tcW w:w="1367" w:type="dxa"/>
            <w:tcBorders>
              <w:top w:val="single" w:sz="8" w:space="0" w:color="1566B0"/>
              <w:left w:val="single" w:sz="8" w:space="0" w:color="1566B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Vyúčtovaná podpora</w:t>
            </w:r>
          </w:p>
        </w:tc>
        <w:tc>
          <w:tcPr>
            <w:tcW w:w="1394" w:type="dxa"/>
            <w:tcBorders>
              <w:top w:val="nil"/>
              <w:left w:val="single" w:sz="8" w:space="0" w:color="1566B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Obnovitelné zdroje</w:t>
            </w:r>
          </w:p>
        </w:tc>
        <w:tc>
          <w:tcPr>
            <w:tcW w:w="1134" w:type="dxa"/>
            <w:tcBorders>
              <w:top w:val="nil"/>
              <w:left w:val="single" w:sz="8" w:space="0" w:color="1566B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Sluneční</w:t>
            </w:r>
          </w:p>
        </w:tc>
        <w:tc>
          <w:tcPr>
            <w:tcW w:w="860" w:type="dxa"/>
            <w:tcBorders>
              <w:top w:val="nil"/>
              <w:left w:val="single" w:sz="8" w:space="0" w:color="1566B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Větrná</w:t>
            </w:r>
          </w:p>
        </w:tc>
        <w:tc>
          <w:tcPr>
            <w:tcW w:w="851" w:type="dxa"/>
            <w:tcBorders>
              <w:top w:val="nil"/>
              <w:left w:val="single" w:sz="8" w:space="0" w:color="1566B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Vodní</w:t>
            </w:r>
          </w:p>
        </w:tc>
        <w:tc>
          <w:tcPr>
            <w:tcW w:w="1134" w:type="dxa"/>
            <w:tcBorders>
              <w:top w:val="nil"/>
              <w:left w:val="single" w:sz="8" w:space="0" w:color="1566B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Biomasa</w:t>
            </w:r>
          </w:p>
        </w:tc>
        <w:tc>
          <w:tcPr>
            <w:tcW w:w="2128" w:type="dxa"/>
            <w:tcBorders>
              <w:top w:val="nil"/>
              <w:left w:val="single" w:sz="8" w:space="0" w:color="1566B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Bioplyn, důlní plyn, skládkový a kalový plyn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1 192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1 105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1 541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2 801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1 669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4 033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single" w:sz="12" w:space="0" w:color="1566B0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2 490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6 413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3 331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7 551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1 927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1566B0"/>
              <w:right w:val="single" w:sz="12" w:space="0" w:color="1566B0"/>
            </w:tcBorders>
            <w:shd w:val="clear" w:color="auto" w:fill="auto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sz w:val="24"/>
                <w:szCs w:val="24"/>
              </w:rPr>
              <w:t>7 694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single" w:sz="12" w:space="0" w:color="1566B0"/>
              <w:bottom w:val="single" w:sz="12" w:space="0" w:color="1566B0"/>
              <w:right w:val="single" w:sz="12" w:space="0" w:color="1566B0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DCE0EB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DCE0EB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7 897</w:t>
            </w:r>
          </w:p>
        </w:tc>
      </w:tr>
      <w:tr w:rsidR="004237EA" w:rsidRPr="004237EA" w:rsidTr="004237EA">
        <w:trPr>
          <w:trHeight w:val="345"/>
        </w:trPr>
        <w:tc>
          <w:tcPr>
            <w:tcW w:w="1367" w:type="dxa"/>
            <w:tcBorders>
              <w:top w:val="nil"/>
              <w:left w:val="single" w:sz="12" w:space="0" w:color="1566B0"/>
              <w:bottom w:val="single" w:sz="12" w:space="0" w:color="1566B0"/>
              <w:right w:val="single" w:sz="12" w:space="0" w:color="1566B0"/>
            </w:tcBorders>
            <w:shd w:val="clear" w:color="auto" w:fill="auto"/>
            <w:noWrap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43 154 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DCE0EB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27 002</w:t>
            </w:r>
            <w:r w:rsidRPr="0042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1 332</w:t>
            </w:r>
            <w:r w:rsidRPr="0042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DCE0EB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2 541</w:t>
            </w:r>
            <w:r w:rsidRPr="0042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4 115</w:t>
            </w:r>
            <w:r w:rsidRPr="0042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1566B0"/>
            </w:tcBorders>
            <w:shd w:val="clear" w:color="000000" w:fill="FFFFFF"/>
            <w:vAlign w:val="center"/>
            <w:hideMark/>
          </w:tcPr>
          <w:p w:rsidR="004237EA" w:rsidRPr="004237EA" w:rsidRDefault="004237EA" w:rsidP="00423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8 163</w:t>
            </w:r>
          </w:p>
        </w:tc>
      </w:tr>
    </w:tbl>
    <w:p w:rsidR="00365EAA" w:rsidRDefault="00365EAA" w:rsidP="00365E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5A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 2004-2012 ERÚ, od r. 2013 OTE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F1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Lví podíl bere </w:t>
      </w:r>
      <w:proofErr w:type="spellStart"/>
      <w:r w:rsidR="004F11B6">
        <w:rPr>
          <w:rFonts w:ascii="Times New Roman" w:eastAsia="Times New Roman" w:hAnsi="Times New Roman" w:cs="Times New Roman"/>
          <w:sz w:val="24"/>
          <w:szCs w:val="24"/>
          <w:lang w:eastAsia="cs-CZ"/>
        </w:rPr>
        <w:t>fotovoltaika</w:t>
      </w:r>
      <w:proofErr w:type="spellEnd"/>
      <w:r w:rsidR="004F1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</w:t>
      </w:r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přes vyšší ceny elektřiny pro spotřebitel</w:t>
      </w:r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>po roce 2010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dotace ze státního rozpočtu. </w:t>
      </w:r>
      <w:r w:rsidR="004F11B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vedená podpora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ezahrnuje</w:t>
      </w:r>
      <w:r w:rsidR="00423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ztráty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negativní</w:t>
      </w:r>
      <w:r w:rsidR="004237E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dopad</w:t>
      </w:r>
      <w:r w:rsidR="004237E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>fotovoltaických</w:t>
      </w:r>
      <w:proofErr w:type="spellEnd"/>
      <w:r w:rsidR="008C4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větrných elektráren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elektrorozvodnou síť ČR.</w:t>
      </w:r>
    </w:p>
    <w:p w:rsidR="00337E19" w:rsidRDefault="004F11B6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65EAA">
        <w:rPr>
          <w:rFonts w:ascii="Times New Roman" w:hAnsi="Times New Roman" w:cs="Times New Roman"/>
          <w:sz w:val="24"/>
          <w:szCs w:val="24"/>
        </w:rPr>
        <w:t xml:space="preserve">eálně </w:t>
      </w:r>
      <w:r w:rsidR="00F06F13">
        <w:rPr>
          <w:rFonts w:ascii="Times New Roman" w:hAnsi="Times New Roman" w:cs="Times New Roman"/>
          <w:sz w:val="24"/>
          <w:szCs w:val="24"/>
        </w:rPr>
        <w:t xml:space="preserve">nejde ani tak o podporu rozvoje OZE jako o podporu nadzisků solárních a dalších baronů, snad ze dvou třetin. </w:t>
      </w:r>
      <w:r w:rsidR="008E72D9">
        <w:rPr>
          <w:rFonts w:ascii="Times New Roman" w:hAnsi="Times New Roman" w:cs="Times New Roman"/>
          <w:sz w:val="24"/>
          <w:szCs w:val="24"/>
        </w:rPr>
        <w:t>K</w:t>
      </w:r>
      <w:r w:rsidR="00337E19">
        <w:rPr>
          <w:rFonts w:ascii="Times New Roman" w:hAnsi="Times New Roman" w:cs="Times New Roman"/>
          <w:sz w:val="24"/>
          <w:szCs w:val="24"/>
        </w:rPr>
        <w:t xml:space="preserve"> odpovědnosti za tento </w:t>
      </w:r>
      <w:r w:rsidR="00365EAA">
        <w:rPr>
          <w:rFonts w:ascii="Times New Roman" w:hAnsi="Times New Roman" w:cs="Times New Roman"/>
          <w:sz w:val="24"/>
          <w:szCs w:val="24"/>
        </w:rPr>
        <w:t xml:space="preserve">finanční </w:t>
      </w:r>
      <w:proofErr w:type="spellStart"/>
      <w:r w:rsidR="00337E19">
        <w:rPr>
          <w:rFonts w:ascii="Times New Roman" w:hAnsi="Times New Roman" w:cs="Times New Roman"/>
          <w:sz w:val="24"/>
          <w:szCs w:val="24"/>
        </w:rPr>
        <w:t>supertunel</w:t>
      </w:r>
      <w:proofErr w:type="spellEnd"/>
      <w:r w:rsidR="00337E19">
        <w:rPr>
          <w:rFonts w:ascii="Times New Roman" w:hAnsi="Times New Roman" w:cs="Times New Roman"/>
          <w:sz w:val="24"/>
          <w:szCs w:val="24"/>
        </w:rPr>
        <w:t xml:space="preserve"> se nikdo nemá. Když se nová předsedkyně Energetického regulační</w:t>
      </w:r>
      <w:r>
        <w:rPr>
          <w:rFonts w:ascii="Times New Roman" w:hAnsi="Times New Roman" w:cs="Times New Roman"/>
          <w:sz w:val="24"/>
          <w:szCs w:val="24"/>
        </w:rPr>
        <w:t>ho úřadu Alena Vitásková pokoušela</w:t>
      </w:r>
      <w:r w:rsidR="00337E19">
        <w:rPr>
          <w:rFonts w:ascii="Times New Roman" w:hAnsi="Times New Roman" w:cs="Times New Roman"/>
          <w:sz w:val="24"/>
          <w:szCs w:val="24"/>
        </w:rPr>
        <w:t xml:space="preserve"> zrušit podporu těm novým </w:t>
      </w:r>
      <w:proofErr w:type="spellStart"/>
      <w:r w:rsidR="00337E19">
        <w:rPr>
          <w:rFonts w:ascii="Times New Roman" w:hAnsi="Times New Roman" w:cs="Times New Roman"/>
          <w:sz w:val="24"/>
          <w:szCs w:val="24"/>
        </w:rPr>
        <w:t>fotovoltaickým</w:t>
      </w:r>
      <w:proofErr w:type="spellEnd"/>
      <w:r w:rsidR="00337E19">
        <w:rPr>
          <w:rFonts w:ascii="Times New Roman" w:hAnsi="Times New Roman" w:cs="Times New Roman"/>
          <w:sz w:val="24"/>
          <w:szCs w:val="24"/>
        </w:rPr>
        <w:t xml:space="preserve"> elektrárnám, které s</w:t>
      </w:r>
      <w:r>
        <w:rPr>
          <w:rFonts w:ascii="Times New Roman" w:hAnsi="Times New Roman" w:cs="Times New Roman"/>
          <w:sz w:val="24"/>
          <w:szCs w:val="24"/>
        </w:rPr>
        <w:t>vé</w:t>
      </w:r>
      <w:r w:rsidR="00337E19">
        <w:rPr>
          <w:rFonts w:ascii="Times New Roman" w:hAnsi="Times New Roman" w:cs="Times New Roman"/>
          <w:sz w:val="24"/>
          <w:szCs w:val="24"/>
        </w:rPr>
        <w:t xml:space="preserve"> připoj</w:t>
      </w:r>
      <w:r>
        <w:rPr>
          <w:rFonts w:ascii="Times New Roman" w:hAnsi="Times New Roman" w:cs="Times New Roman"/>
          <w:sz w:val="24"/>
          <w:szCs w:val="24"/>
        </w:rPr>
        <w:t>ení</w:t>
      </w:r>
      <w:r w:rsidR="00337E19">
        <w:rPr>
          <w:rFonts w:ascii="Times New Roman" w:hAnsi="Times New Roman" w:cs="Times New Roman"/>
          <w:sz w:val="24"/>
          <w:szCs w:val="24"/>
        </w:rPr>
        <w:t xml:space="preserve"> do 31. 12. 2010</w:t>
      </w:r>
      <w:r w:rsidR="008E72D9">
        <w:rPr>
          <w:rFonts w:ascii="Times New Roman" w:hAnsi="Times New Roman" w:cs="Times New Roman"/>
          <w:sz w:val="24"/>
          <w:szCs w:val="24"/>
        </w:rPr>
        <w:t xml:space="preserve"> podvodně zfušovali,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33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 w:rsidR="008E72D9">
        <w:rPr>
          <w:rFonts w:ascii="Times New Roman" w:hAnsi="Times New Roman" w:cs="Times New Roman"/>
          <w:sz w:val="24"/>
          <w:szCs w:val="24"/>
        </w:rPr>
        <w:t xml:space="preserve">žalována </w:t>
      </w:r>
      <w:r w:rsidR="00337E19">
        <w:rPr>
          <w:rFonts w:ascii="Times New Roman" w:hAnsi="Times New Roman" w:cs="Times New Roman"/>
          <w:sz w:val="24"/>
          <w:szCs w:val="24"/>
        </w:rPr>
        <w:t xml:space="preserve">a nepravomocně odsouzena na 8,5 roku nepodmíněně pro „maření stíhání jistých </w:t>
      </w:r>
      <w:proofErr w:type="spellStart"/>
      <w:r w:rsidR="00337E19">
        <w:rPr>
          <w:rFonts w:ascii="Times New Roman" w:hAnsi="Times New Roman" w:cs="Times New Roman"/>
          <w:sz w:val="24"/>
          <w:szCs w:val="24"/>
        </w:rPr>
        <w:t>solárníků</w:t>
      </w:r>
      <w:proofErr w:type="spellEnd"/>
      <w:r w:rsidR="00337E19">
        <w:rPr>
          <w:rFonts w:ascii="Times New Roman" w:hAnsi="Times New Roman" w:cs="Times New Roman"/>
          <w:sz w:val="24"/>
          <w:szCs w:val="24"/>
        </w:rPr>
        <w:t>“. Důkaz – zmatený e mail jedné podřízené, na který nereagovala. Pravda, odvolací soud jmenovaný rozsudek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19">
        <w:rPr>
          <w:rFonts w:ascii="Times New Roman" w:hAnsi="Times New Roman" w:cs="Times New Roman"/>
          <w:sz w:val="24"/>
          <w:szCs w:val="24"/>
        </w:rPr>
        <w:t>zrušil a za mříže poslal jen onu pracovnici ERÚ. To ale nic nemění na skutečnosti, že justiční mafie se v ČR opět předvedla v plné nahotě za přihlížení ministerstva spravedlnosti. Zřejmě nezávislost soudů na platných zákonech není problém.</w:t>
      </w:r>
    </w:p>
    <w:p w:rsidR="003C643E" w:rsidRPr="00297995" w:rsidRDefault="003C643E" w:rsidP="003C64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995">
        <w:rPr>
          <w:rFonts w:ascii="Times New Roman" w:hAnsi="Times New Roman" w:cs="Times New Roman"/>
          <w:b/>
          <w:sz w:val="24"/>
          <w:szCs w:val="24"/>
        </w:rPr>
        <w:t>Chybné směrnice EU</w:t>
      </w:r>
    </w:p>
    <w:p w:rsidR="003C643E" w:rsidRDefault="003C643E" w:rsidP="003C64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Rozumnou energetickou politiku </w:t>
      </w:r>
      <w:r w:rsidR="004F11B6">
        <w:rPr>
          <w:rFonts w:ascii="Times New Roman" w:hAnsi="Times New Roman" w:cs="Times New Roman"/>
          <w:sz w:val="24"/>
          <w:szCs w:val="24"/>
        </w:rPr>
        <w:t xml:space="preserve">v ČR </w:t>
      </w:r>
      <w:r>
        <w:rPr>
          <w:rFonts w:ascii="Times New Roman" w:hAnsi="Times New Roman" w:cs="Times New Roman"/>
          <w:sz w:val="24"/>
          <w:szCs w:val="24"/>
        </w:rPr>
        <w:t>znemožňují následující chybné směrnice EU:</w:t>
      </w:r>
    </w:p>
    <w:p w:rsidR="003C643E" w:rsidRDefault="003C643E" w:rsidP="00857EE0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43E">
        <w:rPr>
          <w:rFonts w:ascii="Times New Roman" w:hAnsi="Times New Roman" w:cs="Times New Roman"/>
          <w:sz w:val="24"/>
          <w:szCs w:val="24"/>
        </w:rPr>
        <w:t xml:space="preserve">Směrnice o obchodu s povolenkami na emise </w:t>
      </w:r>
      <w:r w:rsidR="00902D91">
        <w:rPr>
          <w:rFonts w:ascii="Times New Roman" w:hAnsi="Times New Roman" w:cs="Times New Roman"/>
          <w:sz w:val="24"/>
          <w:szCs w:val="24"/>
        </w:rPr>
        <w:t xml:space="preserve">oxidu uhličitého </w:t>
      </w:r>
      <w:r w:rsidRPr="003C643E">
        <w:rPr>
          <w:rFonts w:ascii="Times New Roman" w:hAnsi="Times New Roman" w:cs="Times New Roman"/>
          <w:sz w:val="24"/>
          <w:szCs w:val="24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. Prakticky jen destabilizuje rozvoj velkých emitentů </w:t>
      </w:r>
      <w:r w:rsidR="00902D91">
        <w:rPr>
          <w:rFonts w:ascii="Times New Roman" w:hAnsi="Times New Roman" w:cs="Times New Roman"/>
          <w:sz w:val="24"/>
          <w:szCs w:val="24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. Při jejím absurdním nastavení na tom ČR vydělává nemalé peníze. Ke cti jí patří, že je investuje do opatření na úspory paliv a energie. Na sousedním Slovensku musel premiér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 časem vyhodit dva </w:t>
      </w:r>
      <w:r>
        <w:rPr>
          <w:rFonts w:ascii="Times New Roman" w:hAnsi="Times New Roman" w:cs="Times New Roman"/>
          <w:sz w:val="24"/>
          <w:szCs w:val="24"/>
        </w:rPr>
        <w:lastRenderedPageBreak/>
        <w:t>ministry životního prostředí, kteří s nimi chtěli dělat podivné operace. Na Ukrajině jejich výnos rozkradli.</w:t>
      </w:r>
    </w:p>
    <w:p w:rsidR="003C643E" w:rsidRDefault="003C643E" w:rsidP="00857EE0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43E">
        <w:rPr>
          <w:rFonts w:ascii="Times New Roman" w:hAnsi="Times New Roman" w:cs="Times New Roman"/>
          <w:sz w:val="24"/>
          <w:szCs w:val="24"/>
        </w:rPr>
        <w:t xml:space="preserve">Směrnice o podpoře </w:t>
      </w:r>
      <w:r w:rsidR="00902D91">
        <w:rPr>
          <w:rFonts w:ascii="Times New Roman" w:hAnsi="Times New Roman" w:cs="Times New Roman"/>
          <w:sz w:val="24"/>
          <w:szCs w:val="24"/>
        </w:rPr>
        <w:t>OZE</w:t>
      </w:r>
      <w:r>
        <w:rPr>
          <w:rFonts w:ascii="Times New Roman" w:hAnsi="Times New Roman" w:cs="Times New Roman"/>
          <w:sz w:val="24"/>
          <w:szCs w:val="24"/>
        </w:rPr>
        <w:t>, viz předchozí text.</w:t>
      </w:r>
    </w:p>
    <w:p w:rsidR="003C643E" w:rsidRDefault="003C643E" w:rsidP="00857EE0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43E">
        <w:rPr>
          <w:rFonts w:ascii="Times New Roman" w:hAnsi="Times New Roman" w:cs="Times New Roman"/>
          <w:sz w:val="24"/>
          <w:szCs w:val="24"/>
        </w:rPr>
        <w:t>Směrnice o trhu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643E">
        <w:rPr>
          <w:rFonts w:ascii="Times New Roman" w:hAnsi="Times New Roman" w:cs="Times New Roman"/>
          <w:sz w:val="24"/>
          <w:szCs w:val="24"/>
        </w:rPr>
        <w:t>elektřinou</w:t>
      </w:r>
      <w:r>
        <w:rPr>
          <w:rFonts w:ascii="Times New Roman" w:hAnsi="Times New Roman" w:cs="Times New Roman"/>
          <w:sz w:val="24"/>
          <w:szCs w:val="24"/>
        </w:rPr>
        <w:t xml:space="preserve">, neboť rozvrací efektivní rozvoj elektroenergetiky. </w:t>
      </w:r>
      <w:r w:rsidR="00902D91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situaci, kdy nikdo nemá cenu elektřiny garantovanou dopředu, také nikdo neinvestuje do pomalu návratných velkých zdrojů energie, ty stárnou, dožívají a EU si tak vytváří vážnou energetickou krizi. OZE to v řadě zemí nezachrání.</w:t>
      </w:r>
    </w:p>
    <w:p w:rsidR="003C643E" w:rsidRDefault="003C643E" w:rsidP="00857EE0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43E">
        <w:rPr>
          <w:rFonts w:ascii="Times New Roman" w:hAnsi="Times New Roman" w:cs="Times New Roman"/>
          <w:sz w:val="24"/>
          <w:szCs w:val="24"/>
        </w:rPr>
        <w:t>Směrnice o trhu v železniční dopravě</w:t>
      </w:r>
      <w:r>
        <w:rPr>
          <w:rFonts w:ascii="Times New Roman" w:hAnsi="Times New Roman" w:cs="Times New Roman"/>
          <w:sz w:val="24"/>
          <w:szCs w:val="24"/>
        </w:rPr>
        <w:t>, protože rozvrací rozvoj energeticky úsporné a šetrné železniční dopravy.</w:t>
      </w:r>
    </w:p>
    <w:p w:rsidR="003C643E" w:rsidRPr="003C643E" w:rsidRDefault="003C643E" w:rsidP="003C64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vedení EU, ČR i ekologo</w:t>
      </w:r>
      <w:r w:rsidR="00857EE0">
        <w:rPr>
          <w:rFonts w:ascii="Times New Roman" w:hAnsi="Times New Roman" w:cs="Times New Roman"/>
          <w:sz w:val="24"/>
          <w:szCs w:val="24"/>
        </w:rPr>
        <w:t>vé trvat na těchto směrnicích, tedy</w:t>
      </w:r>
      <w:r>
        <w:rPr>
          <w:rFonts w:ascii="Times New Roman" w:hAnsi="Times New Roman" w:cs="Times New Roman"/>
          <w:sz w:val="24"/>
          <w:szCs w:val="24"/>
        </w:rPr>
        <w:t xml:space="preserve"> na neúměrné liberalizaci ekonomiky, těžká energetická krize nás sotva mine. </w:t>
      </w:r>
      <w:r w:rsidR="00293B05">
        <w:rPr>
          <w:rFonts w:ascii="Times New Roman" w:hAnsi="Times New Roman" w:cs="Times New Roman"/>
          <w:sz w:val="24"/>
          <w:szCs w:val="24"/>
        </w:rPr>
        <w:t xml:space="preserve">Silná energetika z dob socialismu postupně dožívá a její dostatečná náhrada není. </w:t>
      </w:r>
    </w:p>
    <w:p w:rsidR="003C643E" w:rsidRPr="001326AE" w:rsidRDefault="003C643E" w:rsidP="00602F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6AE">
        <w:rPr>
          <w:rFonts w:ascii="Times New Roman" w:hAnsi="Times New Roman" w:cs="Times New Roman"/>
          <w:b/>
          <w:sz w:val="24"/>
          <w:szCs w:val="24"/>
        </w:rPr>
        <w:t>Hrubě po</w:t>
      </w:r>
      <w:r w:rsidR="00857EE0">
        <w:rPr>
          <w:rFonts w:ascii="Times New Roman" w:hAnsi="Times New Roman" w:cs="Times New Roman"/>
          <w:b/>
          <w:sz w:val="24"/>
          <w:szCs w:val="24"/>
        </w:rPr>
        <w:t>dceňované úspory</w:t>
      </w:r>
    </w:p>
    <w:p w:rsidR="008E72D9" w:rsidRDefault="001326AE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let byly úspory paliv a energie jen vítaným doplňkem bilance paliv a energie v</w:t>
      </w:r>
      <w:r w:rsidR="00293B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293B05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ostávalo se jim zanedbatelné </w:t>
      </w:r>
      <w:r w:rsidR="00704591">
        <w:rPr>
          <w:rFonts w:ascii="Times New Roman" w:hAnsi="Times New Roman" w:cs="Times New Roman"/>
          <w:sz w:val="24"/>
          <w:szCs w:val="24"/>
        </w:rPr>
        <w:t xml:space="preserve">veřejné </w:t>
      </w:r>
      <w:r>
        <w:rPr>
          <w:rFonts w:ascii="Times New Roman" w:hAnsi="Times New Roman" w:cs="Times New Roman"/>
          <w:sz w:val="24"/>
          <w:szCs w:val="24"/>
        </w:rPr>
        <w:t xml:space="preserve">podpory. Obrat nastal v roce 2008, kdy podpora úspor paliv a energie se stala jedinou možností využívání zisků z obchodu s povolenkami na emise CO2. To je ale jen jedna vrstva problému. Problém úspor nejlépe charakterizuje </w:t>
      </w:r>
      <w:r w:rsidR="00293B05">
        <w:rPr>
          <w:rFonts w:ascii="Times New Roman" w:hAnsi="Times New Roman" w:cs="Times New Roman"/>
          <w:sz w:val="24"/>
          <w:szCs w:val="24"/>
        </w:rPr>
        <w:t xml:space="preserve">vývoj konečné spotřeby energie v ČR podle sektorů, viz </w:t>
      </w:r>
      <w:r>
        <w:rPr>
          <w:rFonts w:ascii="Times New Roman" w:hAnsi="Times New Roman" w:cs="Times New Roman"/>
          <w:sz w:val="24"/>
          <w:szCs w:val="24"/>
        </w:rPr>
        <w:t>tabulka č. 2:</w:t>
      </w:r>
    </w:p>
    <w:p w:rsidR="00D063DE" w:rsidRDefault="008E72D9" w:rsidP="00602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Tabulka č. 2 - </w:t>
      </w:r>
      <w:r w:rsidRPr="00804DDF">
        <w:rPr>
          <w:rFonts w:ascii="Times New Roman" w:hAnsi="Times New Roman" w:cs="Times New Roman"/>
          <w:b/>
          <w:sz w:val="24"/>
          <w:szCs w:val="24"/>
        </w:rPr>
        <w:t>Konečná spotřeba energie v ČR</w:t>
      </w:r>
      <w:r w:rsidRPr="008E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DDF">
        <w:rPr>
          <w:rFonts w:ascii="Times New Roman" w:hAnsi="Times New Roman" w:cs="Times New Roman"/>
          <w:b/>
          <w:sz w:val="24"/>
          <w:szCs w:val="24"/>
        </w:rPr>
        <w:t>podle sektorů</w:t>
      </w:r>
    </w:p>
    <w:tbl>
      <w:tblPr>
        <w:tblW w:w="10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956"/>
        <w:gridCol w:w="1276"/>
        <w:gridCol w:w="24"/>
        <w:gridCol w:w="968"/>
        <w:gridCol w:w="24"/>
        <w:gridCol w:w="929"/>
        <w:gridCol w:w="24"/>
        <w:gridCol w:w="1297"/>
        <w:gridCol w:w="30"/>
        <w:gridCol w:w="1311"/>
        <w:gridCol w:w="29"/>
        <w:gridCol w:w="968"/>
        <w:gridCol w:w="24"/>
        <w:gridCol w:w="968"/>
        <w:gridCol w:w="24"/>
      </w:tblGrid>
      <w:tr w:rsidR="00297995" w:rsidRPr="00D53F96" w:rsidTr="00704591">
        <w:trPr>
          <w:trHeight w:val="609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odvětví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7995" w:rsidRPr="00D53F96" w:rsidRDefault="00902D91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297995"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růmysl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7995" w:rsidRPr="00D53F96" w:rsidRDefault="00023E08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297995"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omácnosti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7995" w:rsidRPr="00D53F96" w:rsidRDefault="00902D91" w:rsidP="0090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297995"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7995" w:rsidRPr="00D53F96" w:rsidRDefault="00902D91" w:rsidP="0090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="00297995"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statní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7995" w:rsidRPr="00D53F96" w:rsidRDefault="00902D91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297995"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emědělství a lesnictví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7995" w:rsidRPr="00D53F96" w:rsidRDefault="00902D91" w:rsidP="0090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297995"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tavebnictví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Podíl dopravy</w:t>
            </w:r>
          </w:p>
        </w:tc>
      </w:tr>
      <w:tr w:rsidR="00297995" w:rsidRPr="00D53F96" w:rsidTr="00704591">
        <w:trPr>
          <w:trHeight w:val="250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6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PJ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7995" w:rsidRPr="00D53F96" w:rsidTr="00704591">
        <w:trPr>
          <w:trHeight w:val="240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616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0,081</w:t>
            </w:r>
          </w:p>
        </w:tc>
      </w:tr>
      <w:tr w:rsidR="00297995" w:rsidRPr="00D53F96" w:rsidTr="00704591">
        <w:trPr>
          <w:trHeight w:val="320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543</w:t>
            </w:r>
          </w:p>
        </w:tc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0,088</w:t>
            </w:r>
          </w:p>
        </w:tc>
      </w:tr>
      <w:tr w:rsidR="00297995" w:rsidRPr="00D53F96" w:rsidTr="00704591">
        <w:trPr>
          <w:trHeight w:val="206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0,102</w:t>
            </w:r>
          </w:p>
        </w:tc>
      </w:tr>
      <w:tr w:rsidR="00297995" w:rsidRPr="00D53F96" w:rsidTr="00704591">
        <w:trPr>
          <w:trHeight w:val="298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449</w:t>
            </w:r>
          </w:p>
        </w:tc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0,203</w:t>
            </w:r>
          </w:p>
        </w:tc>
      </w:tr>
      <w:tr w:rsidR="00297995" w:rsidRPr="00D53F96" w:rsidTr="00704591">
        <w:trPr>
          <w:trHeight w:val="236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0,221</w:t>
            </w:r>
          </w:p>
        </w:tc>
      </w:tr>
      <w:tr w:rsidR="00297995" w:rsidRPr="00D53F96" w:rsidTr="00704591">
        <w:trPr>
          <w:trHeight w:val="202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462</w:t>
            </w:r>
          </w:p>
        </w:tc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0,243</w:t>
            </w:r>
          </w:p>
        </w:tc>
      </w:tr>
      <w:tr w:rsidR="00023E08" w:rsidRPr="00D53F96" w:rsidTr="00704591">
        <w:trPr>
          <w:gridAfter w:val="1"/>
          <w:wAfter w:w="24" w:type="dxa"/>
          <w:trHeight w:val="164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E08" w:rsidRPr="00D53F96" w:rsidRDefault="00023E08" w:rsidP="003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E08" w:rsidRPr="00D53F96" w:rsidRDefault="00023E08" w:rsidP="003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0,246</w:t>
            </w:r>
          </w:p>
        </w:tc>
      </w:tr>
      <w:tr w:rsidR="00297995" w:rsidRPr="00D53F96" w:rsidTr="00704591">
        <w:trPr>
          <w:trHeight w:val="140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995" w:rsidRPr="00D53F96" w:rsidRDefault="00297995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995" w:rsidRPr="00D53F96" w:rsidRDefault="00297995" w:rsidP="00D5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0,273</w:t>
            </w:r>
          </w:p>
        </w:tc>
      </w:tr>
      <w:tr w:rsidR="0096482E" w:rsidRPr="0096482E" w:rsidTr="00704591">
        <w:trPr>
          <w:trHeight w:val="197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3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0,244</w:t>
            </w:r>
          </w:p>
        </w:tc>
      </w:tr>
      <w:tr w:rsidR="0096482E" w:rsidRPr="0096482E" w:rsidTr="00571350">
        <w:trPr>
          <w:trHeight w:val="186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0,261</w:t>
            </w:r>
          </w:p>
        </w:tc>
      </w:tr>
      <w:tr w:rsidR="0096482E" w:rsidRPr="0096482E" w:rsidTr="00704591">
        <w:trPr>
          <w:trHeight w:val="304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F25E1B" w:rsidRDefault="0096482E" w:rsidP="0096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82E" w:rsidRPr="0096482E" w:rsidRDefault="0096482E" w:rsidP="0096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0,260</w:t>
            </w:r>
          </w:p>
        </w:tc>
      </w:tr>
      <w:tr w:rsidR="004759B1" w:rsidRPr="004759B1" w:rsidTr="00704591">
        <w:trPr>
          <w:trHeight w:val="239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023E08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0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9B1" w:rsidRPr="004759B1" w:rsidRDefault="004759B1" w:rsidP="0047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</w:t>
            </w:r>
          </w:p>
        </w:tc>
      </w:tr>
      <w:tr w:rsidR="00ED0F17" w:rsidRPr="00D53F96" w:rsidTr="00183EF5">
        <w:trPr>
          <w:trHeight w:val="390"/>
        </w:trPr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D53F96" w:rsidRDefault="00ED0F17" w:rsidP="0058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Index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D5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/1992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ED0F17" w:rsidRDefault="00ED0F17" w:rsidP="00ED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ED0F17" w:rsidRDefault="00ED0F17" w:rsidP="00ED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ED0F17" w:rsidRDefault="00ED0F17" w:rsidP="00ED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ED0F17" w:rsidRDefault="00ED0F17" w:rsidP="00ED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ED0F17" w:rsidRDefault="00ED0F17" w:rsidP="00ED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ED0F17" w:rsidRDefault="00ED0F17" w:rsidP="00ED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0F17" w:rsidRPr="00ED0F17" w:rsidRDefault="00ED0F17" w:rsidP="00ED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F17" w:rsidRPr="00D53F96" w:rsidRDefault="00ED0F17" w:rsidP="00D5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759B1" w:rsidRDefault="004759B1" w:rsidP="009372C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F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Zdroj: ČSÚ. Rok 201</w:t>
      </w:r>
      <w:r w:rsidR="005838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D53F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předběžné údaje</w:t>
      </w:r>
      <w:r w:rsidR="009648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navíc metodicky neporovnatelné.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8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tavebnictví </w:t>
      </w:r>
      <w:r w:rsidR="009648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přešlo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průmyslu, na jeho místě se objevují drobné položky. </w:t>
      </w:r>
    </w:p>
    <w:p w:rsidR="00D04FBC" w:rsidRDefault="009372C5" w:rsidP="005838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Prudký pokles</w:t>
      </w:r>
      <w:r w:rsidR="005838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konečné spotřeby energie v ČR v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etech 1990-92 je důsledkem </w:t>
      </w:r>
      <w:r w:rsidR="005838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zásadní redukce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průmyslu v ČR. Přesun četných energeticky náročných výrob do Číny, Indie a dalších zemí s úsporami paliv a energie ani snižováním emisí CO2 nesouvisel</w:t>
      </w:r>
      <w:r w:rsidR="00D04F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byť byl vydáván za úspěch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3C643E" w:rsidRDefault="00857EE0" w:rsidP="00BE65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 </w:t>
      </w:r>
      <w:r w:rsidR="00937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1992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37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konečné spotřeb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937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energie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ČR spíše stagnuje, resp. v letech 1992-2016 klesá o 5,5 %</w:t>
      </w:r>
      <w:r w:rsidR="00937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Pokles konečné spotřeby energie vykazují</w:t>
      </w:r>
      <w:r w:rsidR="00937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04F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čtyři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sektory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Růst vykazují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domácnosti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23 % a zejména doprava, prakticky na trojnásobek. V rámci 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doprav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o to přičinila 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výlučně silniční a letecká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doprava, resp. metro stagnovalo a ostatní obory dopravy vykazují 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lný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pokles.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Snahu o zásadní úspory konečné spotřeby energie zásadně podráží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nepříznivý vývoj v dopravě, způsobovaný do značné míry 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špatn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dopravní politik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E65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siln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 preferencí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energeticky náročné silniční a letecké dopravy, dále politik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maximalizace dopravních potřeb. Bez zásadního obratu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dopravní politice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ener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getické problémy ČR dál porostou, 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 ohledu na rozšiřování </w:t>
      </w:r>
      <w:proofErr w:type="spellStart"/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elektroaut</w:t>
      </w:r>
      <w:proofErr w:type="spellEnd"/>
      <w:r w:rsidR="00D04F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OZE</w:t>
      </w:r>
      <w:r w:rsidR="00BE65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od kterých si zejména 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nevládní </w:t>
      </w:r>
      <w:r w:rsidR="00BE65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ekologové hodně slibují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BE65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rogram zateplování 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budov 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roku 2009 nezastavil růst konečné spotřeby energie v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domácnostech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ČR</w:t>
      </w:r>
      <w:r w:rsidR="00023E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9372C5" w:rsidRPr="0044747A" w:rsidRDefault="0044747A" w:rsidP="009372C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4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Co dělat?</w:t>
      </w:r>
    </w:p>
    <w:p w:rsidR="00BE652B" w:rsidRDefault="00BE652B" w:rsidP="009372C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Stát by se měl v prvé řadě omluvit za velký, převážně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fotovoltaický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tunel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eho po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kračování by měl i přes zásadu respektování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přijat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závazk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zrušit. V opačném případě bude pokračovat mrazivá 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společenská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nedůvěra. 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Masový odpor proti větrným elektrárnám nepřekvapuje. </w:t>
      </w:r>
    </w:p>
    <w:p w:rsidR="00BE652B" w:rsidRDefault="00BE652B" w:rsidP="00BE65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Zásadní revizi si zasluhuje politika podpory OZE. </w:t>
      </w:r>
      <w:r w:rsidR="00C339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emá smysl podporovat výrobu elektřiny ve vodních elektrárnách, pěstování kukuřice na bioplyn, problematická je i podpora výroby bionafty a spalování dřeva ve velkých kotlích. Není důvod podporovat velké zdroje OZE. Podpora elektřiny z OZE nemůže být cenová. Stávající systém podpory by se měl zrušit, což s odkazem na nutnost respektovat předchozí závazky prý není reálné. </w:t>
      </w:r>
    </w:p>
    <w:p w:rsidR="0044747A" w:rsidRDefault="00BE652B" w:rsidP="009372C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47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úspory paliv a energie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ČR musí </w:t>
      </w:r>
      <w:r w:rsidR="00447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usilovat mnohem víc, než dosud. Za tím účelem </w:t>
      </w:r>
      <w:r w:rsidR="0029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musí </w:t>
      </w:r>
      <w:r w:rsidR="00447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zásadně změnit dopravní politiku – od maximalizace k minimalizaci dopravních potřeb a od zásadní preference silniční a letecké dopravy přejít k zásadní preferenci kolejové, zejména železniční dopravy. </w:t>
      </w:r>
    </w:p>
    <w:p w:rsidR="0044747A" w:rsidRDefault="0044747A" w:rsidP="009372C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Spotřebu energie i emise skleníkových plynů je nutné počítat v celém řetězci, tj. včetně úniku zemního plynu (v zásadě 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silného skleníkového plynu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metanu) při těžbě, zpracování, dopravě a distribuci fosilních paliv. </w:t>
      </w:r>
    </w:p>
    <w:p w:rsidR="005838BC" w:rsidRPr="005838BC" w:rsidRDefault="005838BC" w:rsidP="009372C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83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Petice za konec uhlí v ČR</w:t>
      </w:r>
    </w:p>
    <w:p w:rsidR="005838BC" w:rsidRPr="003C643E" w:rsidRDefault="005838BC" w:rsidP="009372C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Dostal jsem petici Greenpeace za rychlé ukončení těžby a spalování uhlí v ČR s odkazem na sílící klimatické změny. Nezpochybňuji, že uhlí je špinavé</w:t>
      </w:r>
      <w:r w:rsidR="00ED0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pokud jde o zdraví lidí a krajinu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8843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dopadech na klima je 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souhrn</w:t>
      </w:r>
      <w:r w:rsidR="008843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ještě horší ropa a zemní plyn, o válkách o ropu nemluvě. Ptám se, čím uhlí nahradíme? Navíc deficit elektřiny v EU narůstá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rusofóbní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politikou EU tlačí Rusko k přesměrování exportu své ropy a zemního plynu do rychle se rozvíjejících zemí Asie. Rozvoj energetiky ČR je přitom špatně řízen, </w:t>
      </w:r>
      <w:r w:rsidR="008843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souladu se špatnými směrnicemi EU. Takové drobnosti autory petice nezajímají. Směrodatné je prý kontroverzní zelené energetické dogma, tj. jsem zásadně proti mírovému využívání jaderné energie, chci maximálně rozvíjet OZE a na úsporách paliv a energie, zvláště pak v dopravě, zas tak moc nesejde. Občan ale nechce mrznout, ani při rostoucím oteplování klimatu. </w:t>
      </w:r>
      <w:bookmarkStart w:id="0" w:name="_GoBack"/>
      <w:bookmarkEnd w:id="0"/>
    </w:p>
    <w:sectPr w:rsidR="005838BC" w:rsidRPr="003C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374DD2"/>
    <w:multiLevelType w:val="hybridMultilevel"/>
    <w:tmpl w:val="2132F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35CF"/>
    <w:multiLevelType w:val="hybridMultilevel"/>
    <w:tmpl w:val="5734C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3"/>
    <w:rsid w:val="00016979"/>
    <w:rsid w:val="00023E08"/>
    <w:rsid w:val="001326AE"/>
    <w:rsid w:val="001723EC"/>
    <w:rsid w:val="001E5EA5"/>
    <w:rsid w:val="00217F02"/>
    <w:rsid w:val="0026397F"/>
    <w:rsid w:val="00270286"/>
    <w:rsid w:val="0027049E"/>
    <w:rsid w:val="00293B05"/>
    <w:rsid w:val="00297995"/>
    <w:rsid w:val="002E4E1B"/>
    <w:rsid w:val="002F0D33"/>
    <w:rsid w:val="002F42B9"/>
    <w:rsid w:val="00314C47"/>
    <w:rsid w:val="00337E19"/>
    <w:rsid w:val="0036485D"/>
    <w:rsid w:val="00365EAA"/>
    <w:rsid w:val="00394F27"/>
    <w:rsid w:val="00397D73"/>
    <w:rsid w:val="003A5A4A"/>
    <w:rsid w:val="003C643E"/>
    <w:rsid w:val="003E5B82"/>
    <w:rsid w:val="004237EA"/>
    <w:rsid w:val="00433510"/>
    <w:rsid w:val="00437D43"/>
    <w:rsid w:val="0044747A"/>
    <w:rsid w:val="004759B1"/>
    <w:rsid w:val="004B5082"/>
    <w:rsid w:val="004F11B6"/>
    <w:rsid w:val="00570D86"/>
    <w:rsid w:val="005838BC"/>
    <w:rsid w:val="005B0D79"/>
    <w:rsid w:val="005E563E"/>
    <w:rsid w:val="00602F53"/>
    <w:rsid w:val="00606B9D"/>
    <w:rsid w:val="00632B0E"/>
    <w:rsid w:val="006724AB"/>
    <w:rsid w:val="00704591"/>
    <w:rsid w:val="00715088"/>
    <w:rsid w:val="00766D12"/>
    <w:rsid w:val="00781091"/>
    <w:rsid w:val="00794AF4"/>
    <w:rsid w:val="007E7922"/>
    <w:rsid w:val="00804DDF"/>
    <w:rsid w:val="00857EE0"/>
    <w:rsid w:val="00884355"/>
    <w:rsid w:val="008A13D2"/>
    <w:rsid w:val="008C46BE"/>
    <w:rsid w:val="008E72D9"/>
    <w:rsid w:val="00902D91"/>
    <w:rsid w:val="009372C5"/>
    <w:rsid w:val="00937F8A"/>
    <w:rsid w:val="00947A1C"/>
    <w:rsid w:val="0095509B"/>
    <w:rsid w:val="0096482E"/>
    <w:rsid w:val="009D6959"/>
    <w:rsid w:val="00A35B82"/>
    <w:rsid w:val="00A41D8F"/>
    <w:rsid w:val="00A865C8"/>
    <w:rsid w:val="00B9246F"/>
    <w:rsid w:val="00BA19A9"/>
    <w:rsid w:val="00BC5159"/>
    <w:rsid w:val="00BE652B"/>
    <w:rsid w:val="00BF74B2"/>
    <w:rsid w:val="00C07AE7"/>
    <w:rsid w:val="00C33985"/>
    <w:rsid w:val="00C6683C"/>
    <w:rsid w:val="00CB3FEB"/>
    <w:rsid w:val="00CE0A2E"/>
    <w:rsid w:val="00D04FBC"/>
    <w:rsid w:val="00D063DE"/>
    <w:rsid w:val="00D45076"/>
    <w:rsid w:val="00D53F96"/>
    <w:rsid w:val="00D649F2"/>
    <w:rsid w:val="00D65348"/>
    <w:rsid w:val="00DA485A"/>
    <w:rsid w:val="00DB4AA3"/>
    <w:rsid w:val="00DB7EAD"/>
    <w:rsid w:val="00E21801"/>
    <w:rsid w:val="00E27CFF"/>
    <w:rsid w:val="00ED0F17"/>
    <w:rsid w:val="00F06F13"/>
    <w:rsid w:val="00F25E1B"/>
    <w:rsid w:val="00F60DEC"/>
    <w:rsid w:val="00FD4702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314C4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4C47"/>
    <w:rPr>
      <w:rFonts w:ascii="Times New Roman" w:eastAsia="Lucida Sans Unicode" w:hAnsi="Times New Roman" w:cs="Tahoma"/>
      <w:b/>
      <w:bCs/>
      <w:kern w:val="1"/>
      <w:sz w:val="48"/>
      <w:szCs w:val="48"/>
      <w:lang w:eastAsia="hi-IN" w:bidi="hi-IN"/>
    </w:rPr>
  </w:style>
  <w:style w:type="character" w:styleId="Hypertextovodkaz">
    <w:name w:val="Hyperlink"/>
    <w:rsid w:val="00314C47"/>
    <w:rPr>
      <w:color w:val="000080"/>
      <w:u w:val="single"/>
    </w:rPr>
  </w:style>
  <w:style w:type="character" w:styleId="Siln">
    <w:name w:val="Strong"/>
    <w:qFormat/>
    <w:rsid w:val="00314C47"/>
    <w:rPr>
      <w:b/>
      <w:bCs/>
    </w:rPr>
  </w:style>
  <w:style w:type="character" w:styleId="Zvraznn">
    <w:name w:val="Emphasis"/>
    <w:qFormat/>
    <w:rsid w:val="00314C47"/>
    <w:rPr>
      <w:i/>
      <w:iCs/>
    </w:rPr>
  </w:style>
  <w:style w:type="paragraph" w:styleId="Zkladntext">
    <w:name w:val="Body Text"/>
    <w:basedOn w:val="Normln"/>
    <w:link w:val="ZkladntextChar"/>
    <w:rsid w:val="00314C4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14C4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istContents">
    <w:name w:val="List Contents"/>
    <w:basedOn w:val="Normln"/>
    <w:rsid w:val="00314C47"/>
    <w:pPr>
      <w:widowControl w:val="0"/>
      <w:suppressAutoHyphens/>
      <w:spacing w:after="0" w:line="240" w:lineRule="auto"/>
      <w:ind w:left="567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D0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314C4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4C47"/>
    <w:rPr>
      <w:rFonts w:ascii="Times New Roman" w:eastAsia="Lucida Sans Unicode" w:hAnsi="Times New Roman" w:cs="Tahoma"/>
      <w:b/>
      <w:bCs/>
      <w:kern w:val="1"/>
      <w:sz w:val="48"/>
      <w:szCs w:val="48"/>
      <w:lang w:eastAsia="hi-IN" w:bidi="hi-IN"/>
    </w:rPr>
  </w:style>
  <w:style w:type="character" w:styleId="Hypertextovodkaz">
    <w:name w:val="Hyperlink"/>
    <w:rsid w:val="00314C47"/>
    <w:rPr>
      <w:color w:val="000080"/>
      <w:u w:val="single"/>
    </w:rPr>
  </w:style>
  <w:style w:type="character" w:styleId="Siln">
    <w:name w:val="Strong"/>
    <w:qFormat/>
    <w:rsid w:val="00314C47"/>
    <w:rPr>
      <w:b/>
      <w:bCs/>
    </w:rPr>
  </w:style>
  <w:style w:type="character" w:styleId="Zvraznn">
    <w:name w:val="Emphasis"/>
    <w:qFormat/>
    <w:rsid w:val="00314C47"/>
    <w:rPr>
      <w:i/>
      <w:iCs/>
    </w:rPr>
  </w:style>
  <w:style w:type="paragraph" w:styleId="Zkladntext">
    <w:name w:val="Body Text"/>
    <w:basedOn w:val="Normln"/>
    <w:link w:val="ZkladntextChar"/>
    <w:rsid w:val="00314C4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14C4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istContents">
    <w:name w:val="List Contents"/>
    <w:basedOn w:val="Normln"/>
    <w:rsid w:val="00314C47"/>
    <w:pPr>
      <w:widowControl w:val="0"/>
      <w:suppressAutoHyphens/>
      <w:spacing w:after="0" w:line="240" w:lineRule="auto"/>
      <w:ind w:left="567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D0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24.cz/zpravy-ze-sveta/3727-analyza-ukazuje-ze-solarni-jednotky-zpusobuji-vice-emisi-sklenikovych-plynu-nez-moderni-uhelne-elektrar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ulfur_hexafluor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itrogen_trifluori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2333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15</cp:revision>
  <dcterms:created xsi:type="dcterms:W3CDTF">2018-06-07T08:57:00Z</dcterms:created>
  <dcterms:modified xsi:type="dcterms:W3CDTF">2018-06-15T06:31:00Z</dcterms:modified>
</cp:coreProperties>
</file>